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518BB" w14:textId="77777777" w:rsidR="00B7532D" w:rsidRPr="003D35C9" w:rsidRDefault="00B7532D" w:rsidP="00B7532D">
      <w:pPr>
        <w:spacing w:after="0" w:line="276" w:lineRule="auto"/>
        <w:rPr>
          <w:rFonts w:eastAsia="Arial" w:cs="Arial"/>
          <w:color w:val="000000"/>
          <w:sz w:val="18"/>
          <w:u w:val="single"/>
          <w:lang w:eastAsia="fi-FI"/>
        </w:rPr>
      </w:pPr>
      <w:r w:rsidRPr="003D35C9">
        <w:rPr>
          <w:rFonts w:eastAsia="Arial" w:cs="Arial"/>
          <w:color w:val="000000"/>
          <w:sz w:val="18"/>
          <w:u w:val="single"/>
          <w:lang w:eastAsia="fi-FI"/>
        </w:rPr>
        <w:t>Tässä d</w:t>
      </w:r>
      <w:r w:rsidRPr="002846C7">
        <w:rPr>
          <w:rFonts w:eastAsia="Arial" w:cs="Arial"/>
          <w:color w:val="000000"/>
          <w:sz w:val="18"/>
          <w:u w:val="single"/>
          <w:lang w:eastAsia="fi-FI"/>
        </w:rPr>
        <w:t>okumentissa eri fonttivärit tarkoittavat:</w:t>
      </w:r>
    </w:p>
    <w:p w14:paraId="22528425" w14:textId="77777777" w:rsidR="00B7532D" w:rsidRPr="002846C7" w:rsidRDefault="00B7532D" w:rsidP="00B7532D">
      <w:pPr>
        <w:spacing w:after="0" w:line="276" w:lineRule="auto"/>
        <w:rPr>
          <w:rFonts w:eastAsia="Arial" w:cs="Arial"/>
          <w:color w:val="000000"/>
          <w:sz w:val="18"/>
          <w:lang w:eastAsia="fi-FI"/>
        </w:rPr>
      </w:pPr>
      <w:r>
        <w:rPr>
          <w:rFonts w:eastAsia="Arial" w:cs="Arial"/>
          <w:color w:val="000000"/>
          <w:sz w:val="18"/>
          <w:lang w:eastAsia="fi-FI"/>
        </w:rPr>
        <w:t xml:space="preserve">Teksti pohjautuu lakiin </w:t>
      </w:r>
      <w:r w:rsidRPr="003D35C9">
        <w:rPr>
          <w:rFonts w:eastAsia="Arial" w:cs="Arial"/>
          <w:i/>
          <w:color w:val="000000"/>
          <w:sz w:val="18"/>
          <w:lang w:eastAsia="fi-FI"/>
        </w:rPr>
        <w:t>(</w:t>
      </w:r>
      <w:r>
        <w:rPr>
          <w:rFonts w:eastAsia="Arial" w:cs="Arial"/>
          <w:i/>
          <w:color w:val="000000"/>
          <w:sz w:val="18"/>
          <w:lang w:eastAsia="fi-FI"/>
        </w:rPr>
        <w:t>suorat lainaukset esitetty kursiivilla</w:t>
      </w:r>
      <w:r w:rsidRPr="003D35C9">
        <w:rPr>
          <w:rFonts w:eastAsia="Arial" w:cs="Arial"/>
          <w:i/>
          <w:color w:val="000000"/>
          <w:sz w:val="18"/>
          <w:lang w:eastAsia="fi-FI"/>
        </w:rPr>
        <w:t>)</w:t>
      </w:r>
    </w:p>
    <w:p w14:paraId="52A43A7C" w14:textId="77777777" w:rsidR="00B7532D" w:rsidRPr="002846C7" w:rsidRDefault="00B7532D" w:rsidP="00B7532D">
      <w:pPr>
        <w:spacing w:after="0" w:line="276" w:lineRule="auto"/>
        <w:rPr>
          <w:rFonts w:eastAsia="Arial" w:cs="Arial"/>
          <w:color w:val="5B9BD5" w:themeColor="accent1"/>
          <w:sz w:val="18"/>
          <w:lang w:eastAsia="fi-FI"/>
        </w:rPr>
      </w:pPr>
      <w:r w:rsidRPr="002846C7">
        <w:rPr>
          <w:rFonts w:eastAsia="Arial" w:cs="Arial"/>
          <w:color w:val="5B9BD5" w:themeColor="accent1"/>
          <w:sz w:val="18"/>
          <w:lang w:eastAsia="fi-FI"/>
        </w:rPr>
        <w:t>Teksti pohjautuu suositukseen (ei laissa esitetty)</w:t>
      </w:r>
    </w:p>
    <w:p w14:paraId="016485FC" w14:textId="77777777" w:rsidR="00B7532D" w:rsidRPr="002846C7" w:rsidRDefault="00B7532D" w:rsidP="00B7532D">
      <w:pPr>
        <w:spacing w:after="0" w:line="276" w:lineRule="auto"/>
        <w:rPr>
          <w:rFonts w:eastAsia="Arial" w:cs="Arial"/>
          <w:color w:val="ED7D31" w:themeColor="accent2"/>
          <w:sz w:val="18"/>
          <w:lang w:eastAsia="fi-FI"/>
        </w:rPr>
      </w:pPr>
      <w:r w:rsidRPr="002846C7">
        <w:rPr>
          <w:rFonts w:eastAsia="Arial" w:cs="Arial"/>
          <w:color w:val="ED7D31" w:themeColor="accent2"/>
          <w:sz w:val="18"/>
          <w:lang w:eastAsia="fi-FI"/>
        </w:rPr>
        <w:t>Asia tulee tarkentumaan myöhemmin (esim. lain todennäköisesti myöhemmin täsmentyvät yksityiskohdat tai muut vielä epäselvät asiat)</w:t>
      </w:r>
    </w:p>
    <w:p w14:paraId="23F20561" w14:textId="03F676AD" w:rsidR="00B7532D" w:rsidRPr="00B7532D" w:rsidRDefault="00B7532D" w:rsidP="00B7532D">
      <w:pPr>
        <w:spacing w:line="276" w:lineRule="auto"/>
        <w:rPr>
          <w:rFonts w:eastAsia="Arial" w:cs="Arial"/>
          <w:color w:val="70AD47" w:themeColor="accent6"/>
          <w:sz w:val="18"/>
          <w:lang w:eastAsia="fi-FI"/>
        </w:rPr>
      </w:pPr>
      <w:r w:rsidRPr="002846C7">
        <w:rPr>
          <w:rFonts w:eastAsia="Arial" w:cs="Arial"/>
          <w:color w:val="70AD47" w:themeColor="accent6"/>
          <w:sz w:val="18"/>
          <w:lang w:eastAsia="fi-FI"/>
        </w:rPr>
        <w:t>Lain valmisteluryhmän mietintö (lain perustelut)</w:t>
      </w:r>
      <w:bookmarkStart w:id="0" w:name="_GoBack"/>
      <w:bookmarkEnd w:id="0"/>
    </w:p>
    <w:p w14:paraId="11F1B47C" w14:textId="4AF2835A" w:rsidR="00AE3882" w:rsidRDefault="003441D4" w:rsidP="00FA5CDF">
      <w:pPr>
        <w:pStyle w:val="Otsikko"/>
      </w:pPr>
      <w:r>
        <w:t>Kortti 2.</w:t>
      </w:r>
      <w:r w:rsidR="00F11317">
        <w:t>7</w:t>
      </w:r>
      <w:r w:rsidR="00AE3882">
        <w:t xml:space="preserve"> – </w:t>
      </w:r>
      <w:r w:rsidR="00F11317">
        <w:t>Puitejärjestely</w:t>
      </w:r>
      <w:r w:rsidR="00515D6A">
        <w:t xml:space="preserve"> </w:t>
      </w:r>
      <w:r w:rsidR="00191BB7">
        <w:t>EU-</w:t>
      </w:r>
      <w:r w:rsidR="002541C6">
        <w:t>kynnysarvon ylittävissä suunnittelu- ja konsultointipalveluiden hankinnoissa</w:t>
      </w:r>
    </w:p>
    <w:p w14:paraId="274D9CD6" w14:textId="04F7C759" w:rsidR="00FA5CDF" w:rsidRPr="00FA5CDF" w:rsidRDefault="00FA5CDF" w:rsidP="00FA5CDF"/>
    <w:p w14:paraId="00A5BBE3" w14:textId="10279E59" w:rsidR="0052357C" w:rsidRDefault="0052357C" w:rsidP="0052357C">
      <w:pPr>
        <w:rPr>
          <w:color w:val="5B9BD5" w:themeColor="accent1"/>
        </w:rPr>
      </w:pPr>
      <w:r w:rsidRPr="00A93CA8">
        <w:rPr>
          <w:color w:val="5B9BD5" w:themeColor="accent1"/>
        </w:rPr>
        <w:t>Tämä ohjekortti k</w:t>
      </w:r>
      <w:r w:rsidR="0082767E">
        <w:rPr>
          <w:color w:val="5B9BD5" w:themeColor="accent1"/>
        </w:rPr>
        <w:t xml:space="preserve">uvaa hankintalain </w:t>
      </w:r>
      <w:r w:rsidR="007B28D3">
        <w:rPr>
          <w:color w:val="5B9BD5" w:themeColor="accent1"/>
        </w:rPr>
        <w:t>42</w:t>
      </w:r>
      <w:r w:rsidRPr="00A93CA8">
        <w:rPr>
          <w:color w:val="5B9BD5" w:themeColor="accent1"/>
        </w:rPr>
        <w:t xml:space="preserve"> §:</w:t>
      </w:r>
      <w:r w:rsidR="00FA5CDF">
        <w:rPr>
          <w:color w:val="5B9BD5" w:themeColor="accent1"/>
        </w:rPr>
        <w:t>n</w:t>
      </w:r>
      <w:r w:rsidRPr="00A93CA8">
        <w:rPr>
          <w:color w:val="5B9BD5" w:themeColor="accent1"/>
        </w:rPr>
        <w:t xml:space="preserve"> tarkoittaman </w:t>
      </w:r>
      <w:r w:rsidR="007B28D3">
        <w:rPr>
          <w:color w:val="5B9BD5" w:themeColor="accent1"/>
        </w:rPr>
        <w:t>puitejärjestelyn</w:t>
      </w:r>
      <w:r w:rsidR="00515D6A">
        <w:rPr>
          <w:color w:val="5B9BD5" w:themeColor="accent1"/>
        </w:rPr>
        <w:t xml:space="preserve"> perustamista ja siihen perustuvien hankintojen tekemistä</w:t>
      </w:r>
      <w:r w:rsidRPr="00A93CA8">
        <w:rPr>
          <w:color w:val="5B9BD5" w:themeColor="accent1"/>
        </w:rPr>
        <w:t xml:space="preserve">. </w:t>
      </w:r>
      <w:r w:rsidR="000C0CE9">
        <w:rPr>
          <w:color w:val="5B9BD5" w:themeColor="accent1"/>
        </w:rPr>
        <w:t>Tämä o</w:t>
      </w:r>
      <w:r w:rsidRPr="00A93CA8">
        <w:rPr>
          <w:color w:val="5B9BD5" w:themeColor="accent1"/>
        </w:rPr>
        <w:t>hjekortti täydentä</w:t>
      </w:r>
      <w:r w:rsidR="000C0CE9">
        <w:rPr>
          <w:color w:val="5B9BD5" w:themeColor="accent1"/>
        </w:rPr>
        <w:t>ä</w:t>
      </w:r>
      <w:r w:rsidRPr="00A93CA8">
        <w:rPr>
          <w:color w:val="5B9BD5" w:themeColor="accent1"/>
        </w:rPr>
        <w:t xml:space="preserve"> ohjekorttia RT xx-xxxx Suunnittelu- ja </w:t>
      </w:r>
      <w:r w:rsidR="00326322">
        <w:rPr>
          <w:color w:val="5B9BD5" w:themeColor="accent1"/>
        </w:rPr>
        <w:t>konsultointipalveluid</w:t>
      </w:r>
      <w:r w:rsidRPr="00A93CA8">
        <w:rPr>
          <w:color w:val="5B9BD5" w:themeColor="accent1"/>
        </w:rPr>
        <w:t>en hankinta</w:t>
      </w:r>
      <w:r w:rsidR="00A93CA8" w:rsidRPr="00A93CA8">
        <w:rPr>
          <w:color w:val="5B9BD5" w:themeColor="accent1"/>
        </w:rPr>
        <w:t>.</w:t>
      </w:r>
    </w:p>
    <w:p w14:paraId="5C8B5838" w14:textId="10735808" w:rsidR="00FA5CDF" w:rsidRDefault="00FA5CDF" w:rsidP="0052357C">
      <w:pPr>
        <w:rPr>
          <w:i/>
        </w:rPr>
      </w:pPr>
      <w:r>
        <w:rPr>
          <w:i/>
        </w:rPr>
        <w:t>”</w:t>
      </w:r>
      <w:r w:rsidR="00223AA1">
        <w:rPr>
          <w:i/>
        </w:rPr>
        <w:t>Puitejärjestelyllä tarkoitetaan yhden tai useamman hankintayksikön ja yhden tai useamman toimittajan välistä sopimusta, jonka tarkoituksena on vahvistaa tietyn ajan kuluessa tehtäviä hankintasopimuksia koskevat ehdot, kuten hinnat ja suunnitellut määrät</w:t>
      </w:r>
      <w:r w:rsidR="008615FF">
        <w:rPr>
          <w:i/>
        </w:rPr>
        <w:t xml:space="preserve"> sekä muut ehdot</w:t>
      </w:r>
      <w:r w:rsidR="00223AA1">
        <w:rPr>
          <w:i/>
        </w:rPr>
        <w:t>.”</w:t>
      </w:r>
      <w:r>
        <w:rPr>
          <w:i/>
        </w:rPr>
        <w:t xml:space="preserve"> (</w:t>
      </w:r>
      <w:r w:rsidR="00223AA1">
        <w:rPr>
          <w:i/>
        </w:rPr>
        <w:t>42</w:t>
      </w:r>
      <w:r>
        <w:rPr>
          <w:i/>
        </w:rPr>
        <w:t xml:space="preserve"> §</w:t>
      </w:r>
      <w:r w:rsidR="00090D4C">
        <w:rPr>
          <w:i/>
        </w:rPr>
        <w:t xml:space="preserve"> mom. 1</w:t>
      </w:r>
      <w:r>
        <w:rPr>
          <w:i/>
        </w:rPr>
        <w:t>)</w:t>
      </w:r>
    </w:p>
    <w:p w14:paraId="687DABB6" w14:textId="69254F48" w:rsidR="000B12ED" w:rsidRPr="000B12ED" w:rsidRDefault="000B12ED" w:rsidP="0052357C">
      <w:pPr>
        <w:rPr>
          <w:i/>
        </w:rPr>
      </w:pPr>
      <w:r w:rsidRPr="000B12ED">
        <w:rPr>
          <w:color w:val="5B9BD5" w:themeColor="accent1"/>
        </w:rPr>
        <w:t>Puitejärjestelyn avulla voidaan keventää hankintojen hallinnollista taakkaa ja vastavuoroisesti tasata toimittajien työmääriä järjestelyn keston ajaksi.</w:t>
      </w:r>
      <w:r>
        <w:rPr>
          <w:color w:val="5B9BD5" w:themeColor="accent1"/>
        </w:rPr>
        <w:t xml:space="preserve"> </w:t>
      </w:r>
      <w:r>
        <w:rPr>
          <w:i/>
        </w:rPr>
        <w:t>Puitejärjestely voi olla voimassa enintään neljä vuotta. Hankinnan kohteen sitä perustellusti edellyttäessä puitejärjestely voi poikkeuksellisesti olla kestoltaan pidempi.</w:t>
      </w:r>
      <w:r w:rsidRPr="000B12ED">
        <w:rPr>
          <w:i/>
        </w:rPr>
        <w:t xml:space="preserve"> </w:t>
      </w:r>
      <w:r>
        <w:rPr>
          <w:i/>
        </w:rPr>
        <w:t>Puitejärjestelyn ehtoihin ei saa tehdä olennaisia muutoksia sen voimassaoloaikana.</w:t>
      </w:r>
      <w:r w:rsidR="003E2696">
        <w:rPr>
          <w:i/>
        </w:rPr>
        <w:t xml:space="preserve"> (42 § mom. 5)</w:t>
      </w:r>
    </w:p>
    <w:p w14:paraId="276881B7" w14:textId="224981EA" w:rsidR="006C68A4" w:rsidRDefault="00223AA1" w:rsidP="006C68A4">
      <w:pPr>
        <w:pStyle w:val="Otsikko1"/>
      </w:pPr>
      <w:r>
        <w:t>Toimittajien valitseminen puitejärjestelyyn</w:t>
      </w:r>
    </w:p>
    <w:p w14:paraId="61B971A4" w14:textId="3FD35C7A" w:rsidR="00223AA1" w:rsidRDefault="00223AA1" w:rsidP="00223AA1">
      <w:r>
        <w:t>Toimittajat tulee valita puitejärjestelyyn hankintamenettelyllä, jonka käyttöedellytykset täyttyvät hankinnan kohteen osalta. Taulukossa 1 on kuvattu EU-kynnysarvon ylittävissä hankinnoissa käytettävissä olevat hankintamenettelyt ja niiden sallitut käyttötilanteet suunnittelu- ja konsultointipalvelujen hankinnoissa.</w:t>
      </w:r>
    </w:p>
    <w:tbl>
      <w:tblPr>
        <w:tblW w:w="8647"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52"/>
        <w:gridCol w:w="4961"/>
        <w:gridCol w:w="1134"/>
      </w:tblGrid>
      <w:tr w:rsidR="00223AA1" w14:paraId="0A89CA7C" w14:textId="648BF7E7" w:rsidTr="005718F4">
        <w:trPr>
          <w:trHeight w:val="111"/>
        </w:trPr>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2478FA" w14:textId="77777777" w:rsidR="00223AA1" w:rsidRDefault="00223AA1" w:rsidP="005718F4">
            <w:pPr>
              <w:spacing w:after="0"/>
            </w:pPr>
            <w:r>
              <w:rPr>
                <w:sz w:val="16"/>
                <w:szCs w:val="16"/>
              </w:rPr>
              <w:t>Avoin menettely</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1FCBD" w14:textId="77777777" w:rsidR="00223AA1" w:rsidRDefault="00223AA1" w:rsidP="005718F4">
            <w:pPr>
              <w:spacing w:after="0"/>
            </w:pPr>
            <w:r>
              <w:rPr>
                <w:sz w:val="16"/>
                <w:szCs w:val="16"/>
              </w:rPr>
              <w:t>Aina käytettävissä</w:t>
            </w:r>
          </w:p>
        </w:tc>
        <w:tc>
          <w:tcPr>
            <w:tcW w:w="1134" w:type="dxa"/>
            <w:tcBorders>
              <w:top w:val="single" w:sz="8" w:space="0" w:color="000000"/>
              <w:left w:val="single" w:sz="8" w:space="0" w:color="000000"/>
              <w:bottom w:val="single" w:sz="8" w:space="0" w:color="000000"/>
              <w:right w:val="single" w:sz="8" w:space="0" w:color="000000"/>
            </w:tcBorders>
          </w:tcPr>
          <w:p w14:paraId="68B240EB" w14:textId="5E4CB85A" w:rsidR="00223AA1" w:rsidRDefault="00223AA1" w:rsidP="005718F4">
            <w:pPr>
              <w:spacing w:after="0"/>
              <w:rPr>
                <w:sz w:val="16"/>
                <w:szCs w:val="16"/>
              </w:rPr>
            </w:pPr>
            <w:r>
              <w:rPr>
                <w:sz w:val="16"/>
                <w:szCs w:val="16"/>
              </w:rPr>
              <w:t>Kortti 2.1</w:t>
            </w:r>
          </w:p>
        </w:tc>
      </w:tr>
      <w:tr w:rsidR="00223AA1" w14:paraId="3A5370A8" w14:textId="197155B5" w:rsidTr="005718F4">
        <w:trPr>
          <w:trHeight w:val="111"/>
        </w:trPr>
        <w:tc>
          <w:tcPr>
            <w:tcW w:w="255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29B935" w14:textId="77777777" w:rsidR="00223AA1" w:rsidRDefault="00223AA1" w:rsidP="005718F4">
            <w:pPr>
              <w:spacing w:after="0"/>
            </w:pPr>
            <w:r>
              <w:rPr>
                <w:sz w:val="16"/>
                <w:szCs w:val="16"/>
              </w:rPr>
              <w:t>Rajoitettu menettely</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30F01" w14:textId="77777777" w:rsidR="00223AA1" w:rsidRDefault="00223AA1" w:rsidP="005718F4">
            <w:pPr>
              <w:spacing w:after="0"/>
            </w:pPr>
            <w:r>
              <w:rPr>
                <w:sz w:val="16"/>
                <w:szCs w:val="16"/>
              </w:rPr>
              <w:t>Aina käytettävissä</w:t>
            </w:r>
          </w:p>
        </w:tc>
        <w:tc>
          <w:tcPr>
            <w:tcW w:w="1134" w:type="dxa"/>
            <w:tcBorders>
              <w:top w:val="single" w:sz="8" w:space="0" w:color="000000"/>
              <w:left w:val="single" w:sz="8" w:space="0" w:color="000000"/>
              <w:bottom w:val="single" w:sz="8" w:space="0" w:color="000000"/>
              <w:right w:val="single" w:sz="8" w:space="0" w:color="000000"/>
            </w:tcBorders>
          </w:tcPr>
          <w:p w14:paraId="2BF1CE88" w14:textId="40494131" w:rsidR="00223AA1" w:rsidRDefault="00223AA1" w:rsidP="005718F4">
            <w:pPr>
              <w:spacing w:after="0"/>
              <w:rPr>
                <w:sz w:val="16"/>
                <w:szCs w:val="16"/>
              </w:rPr>
            </w:pPr>
            <w:r>
              <w:rPr>
                <w:sz w:val="16"/>
                <w:szCs w:val="16"/>
              </w:rPr>
              <w:t>Kortti 2.2</w:t>
            </w:r>
          </w:p>
        </w:tc>
      </w:tr>
      <w:tr w:rsidR="00223AA1" w14:paraId="1F8874B9" w14:textId="768CFFB6" w:rsidTr="005718F4">
        <w:trPr>
          <w:trHeight w:val="111"/>
        </w:trPr>
        <w:tc>
          <w:tcPr>
            <w:tcW w:w="255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15A7F6" w14:textId="77777777" w:rsidR="00223AA1" w:rsidRDefault="00223AA1" w:rsidP="005718F4">
            <w:pPr>
              <w:spacing w:after="0"/>
            </w:pPr>
            <w:r>
              <w:rPr>
                <w:sz w:val="16"/>
                <w:szCs w:val="16"/>
              </w:rPr>
              <w:t>Neuvottelumenettely</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D9546C" w14:textId="77777777" w:rsidR="00223AA1" w:rsidRDefault="00223AA1" w:rsidP="005718F4">
            <w:pPr>
              <w:spacing w:after="0"/>
            </w:pPr>
            <w:r>
              <w:rPr>
                <w:sz w:val="16"/>
                <w:szCs w:val="16"/>
              </w:rPr>
              <w:t>Käytettävissä hankinnoissa, joihin kuuluu suunnittelua tai innovatiivisia ratkaisuja</w:t>
            </w:r>
          </w:p>
        </w:tc>
        <w:tc>
          <w:tcPr>
            <w:tcW w:w="1134" w:type="dxa"/>
            <w:tcBorders>
              <w:top w:val="single" w:sz="8" w:space="0" w:color="000000"/>
              <w:left w:val="single" w:sz="8" w:space="0" w:color="000000"/>
              <w:bottom w:val="single" w:sz="8" w:space="0" w:color="000000"/>
              <w:right w:val="single" w:sz="8" w:space="0" w:color="000000"/>
            </w:tcBorders>
          </w:tcPr>
          <w:p w14:paraId="1A3ACDD3" w14:textId="5556CF3D" w:rsidR="00223AA1" w:rsidRDefault="00223AA1" w:rsidP="005718F4">
            <w:pPr>
              <w:spacing w:after="0"/>
              <w:rPr>
                <w:sz w:val="16"/>
                <w:szCs w:val="16"/>
              </w:rPr>
            </w:pPr>
            <w:r>
              <w:rPr>
                <w:sz w:val="16"/>
                <w:szCs w:val="16"/>
              </w:rPr>
              <w:t>Kortti 2.3</w:t>
            </w:r>
          </w:p>
        </w:tc>
      </w:tr>
      <w:tr w:rsidR="00223AA1" w14:paraId="1CD60313" w14:textId="5CF6CFEC" w:rsidTr="005718F4">
        <w:trPr>
          <w:trHeight w:val="111"/>
        </w:trPr>
        <w:tc>
          <w:tcPr>
            <w:tcW w:w="255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F2AD9B" w14:textId="77777777" w:rsidR="00223AA1" w:rsidRDefault="00223AA1" w:rsidP="005718F4">
            <w:pPr>
              <w:spacing w:after="0"/>
            </w:pPr>
            <w:r>
              <w:rPr>
                <w:sz w:val="16"/>
                <w:szCs w:val="16"/>
              </w:rPr>
              <w:t>Kilpailullinen neuvottelumenettely</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AE954" w14:textId="77777777" w:rsidR="00223AA1" w:rsidRDefault="00223AA1" w:rsidP="005718F4">
            <w:pPr>
              <w:spacing w:after="0"/>
            </w:pPr>
            <w:r>
              <w:rPr>
                <w:sz w:val="16"/>
                <w:szCs w:val="16"/>
              </w:rPr>
              <w:t>Käytettävissä hankinnoissa, joihin kuuluu suunnittelua tai innovatiivisia ratkaisuja</w:t>
            </w:r>
          </w:p>
        </w:tc>
        <w:tc>
          <w:tcPr>
            <w:tcW w:w="1134" w:type="dxa"/>
            <w:tcBorders>
              <w:top w:val="single" w:sz="8" w:space="0" w:color="000000"/>
              <w:left w:val="single" w:sz="8" w:space="0" w:color="000000"/>
              <w:bottom w:val="single" w:sz="8" w:space="0" w:color="000000"/>
              <w:right w:val="single" w:sz="8" w:space="0" w:color="000000"/>
            </w:tcBorders>
          </w:tcPr>
          <w:p w14:paraId="03937A63" w14:textId="7E593A36" w:rsidR="00223AA1" w:rsidRDefault="00223AA1" w:rsidP="005718F4">
            <w:pPr>
              <w:spacing w:after="0"/>
              <w:rPr>
                <w:sz w:val="16"/>
                <w:szCs w:val="16"/>
              </w:rPr>
            </w:pPr>
            <w:r>
              <w:rPr>
                <w:sz w:val="16"/>
                <w:szCs w:val="16"/>
              </w:rPr>
              <w:t>Kortti 2.4</w:t>
            </w:r>
          </w:p>
        </w:tc>
      </w:tr>
      <w:tr w:rsidR="00223AA1" w14:paraId="604F4CE7" w14:textId="4BCADFC9" w:rsidTr="005718F4">
        <w:trPr>
          <w:trHeight w:val="111"/>
        </w:trPr>
        <w:tc>
          <w:tcPr>
            <w:tcW w:w="255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40B549" w14:textId="77777777" w:rsidR="00223AA1" w:rsidRDefault="00223AA1" w:rsidP="005718F4">
            <w:pPr>
              <w:spacing w:after="0"/>
            </w:pPr>
            <w:r>
              <w:rPr>
                <w:sz w:val="16"/>
                <w:szCs w:val="16"/>
              </w:rPr>
              <w:t>Innovaatiokumppanuus</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79301" w14:textId="77777777" w:rsidR="00223AA1" w:rsidRDefault="00223AA1" w:rsidP="005718F4">
            <w:pPr>
              <w:spacing w:after="0"/>
            </w:pPr>
            <w:r>
              <w:rPr>
                <w:sz w:val="16"/>
                <w:szCs w:val="16"/>
              </w:rPr>
              <w:t>Käytettävissä tarveperusteisissa hankinnoissa, joissa haetaan innovatiivisia ennalta määrittelemättömiä ratkaisumalleja tarpeen täyttämiseksi (palvelua ei ole ostettavissa markkinoilta)</w:t>
            </w:r>
          </w:p>
        </w:tc>
        <w:tc>
          <w:tcPr>
            <w:tcW w:w="1134" w:type="dxa"/>
            <w:tcBorders>
              <w:top w:val="single" w:sz="8" w:space="0" w:color="000000"/>
              <w:left w:val="single" w:sz="8" w:space="0" w:color="000000"/>
              <w:bottom w:val="single" w:sz="8" w:space="0" w:color="000000"/>
              <w:right w:val="single" w:sz="8" w:space="0" w:color="000000"/>
            </w:tcBorders>
          </w:tcPr>
          <w:p w14:paraId="40F80839" w14:textId="401B2EC4" w:rsidR="00223AA1" w:rsidRDefault="00223AA1" w:rsidP="005718F4">
            <w:pPr>
              <w:spacing w:after="0"/>
              <w:rPr>
                <w:sz w:val="16"/>
                <w:szCs w:val="16"/>
              </w:rPr>
            </w:pPr>
            <w:r>
              <w:rPr>
                <w:sz w:val="16"/>
                <w:szCs w:val="16"/>
              </w:rPr>
              <w:t>Kortti 2.5</w:t>
            </w:r>
          </w:p>
        </w:tc>
      </w:tr>
      <w:tr w:rsidR="00223AA1" w14:paraId="3A94E872" w14:textId="06604342" w:rsidTr="005718F4">
        <w:trPr>
          <w:trHeight w:val="111"/>
        </w:trPr>
        <w:tc>
          <w:tcPr>
            <w:tcW w:w="255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4614F4" w14:textId="77777777" w:rsidR="00223AA1" w:rsidRDefault="00223AA1" w:rsidP="005718F4">
            <w:pPr>
              <w:spacing w:after="0"/>
            </w:pPr>
            <w:r>
              <w:rPr>
                <w:sz w:val="16"/>
                <w:szCs w:val="16"/>
              </w:rPr>
              <w:t>Suorahankinta</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9EC914" w14:textId="5496770C" w:rsidR="00223AA1" w:rsidRDefault="00223AA1" w:rsidP="0027095C">
            <w:pPr>
              <w:spacing w:after="0"/>
            </w:pPr>
            <w:r>
              <w:rPr>
                <w:sz w:val="16"/>
                <w:szCs w:val="16"/>
              </w:rPr>
              <w:t xml:space="preserve">40 §:ssä esitetyt </w:t>
            </w:r>
            <w:r w:rsidR="0027095C">
              <w:rPr>
                <w:sz w:val="16"/>
                <w:szCs w:val="16"/>
              </w:rPr>
              <w:t>tilanteet</w:t>
            </w:r>
            <w:r>
              <w:rPr>
                <w:sz w:val="16"/>
                <w:szCs w:val="16"/>
              </w:rPr>
              <w:t xml:space="preserve"> ja lisätilauksissa 41 §:n mukaisesti</w:t>
            </w:r>
          </w:p>
        </w:tc>
        <w:tc>
          <w:tcPr>
            <w:tcW w:w="1134" w:type="dxa"/>
            <w:tcBorders>
              <w:top w:val="single" w:sz="8" w:space="0" w:color="000000"/>
              <w:left w:val="single" w:sz="8" w:space="0" w:color="000000"/>
              <w:bottom w:val="single" w:sz="8" w:space="0" w:color="000000"/>
              <w:right w:val="single" w:sz="8" w:space="0" w:color="000000"/>
            </w:tcBorders>
          </w:tcPr>
          <w:p w14:paraId="3600F892" w14:textId="6DDDE67F" w:rsidR="00223AA1" w:rsidRDefault="00223AA1" w:rsidP="005718F4">
            <w:pPr>
              <w:spacing w:after="0"/>
              <w:rPr>
                <w:sz w:val="16"/>
                <w:szCs w:val="16"/>
              </w:rPr>
            </w:pPr>
            <w:r>
              <w:rPr>
                <w:sz w:val="16"/>
                <w:szCs w:val="16"/>
              </w:rPr>
              <w:t>Kortti 1.0</w:t>
            </w:r>
          </w:p>
        </w:tc>
      </w:tr>
    </w:tbl>
    <w:p w14:paraId="27388F04" w14:textId="62EA440C" w:rsidR="00223AA1" w:rsidRDefault="00B24313" w:rsidP="00223AA1">
      <w:r>
        <w:t>Taulukko 1</w:t>
      </w:r>
    </w:p>
    <w:p w14:paraId="36BF3B01" w14:textId="660F8892" w:rsidR="00843E5A" w:rsidRDefault="002C7962" w:rsidP="00223AA1">
      <w:r w:rsidRPr="002C7962">
        <w:rPr>
          <w:color w:val="5B9BD5" w:themeColor="accent1"/>
        </w:rPr>
        <w:lastRenderedPageBreak/>
        <w:t>Tyypillisiä menet</w:t>
      </w:r>
      <w:r w:rsidR="00A058BD">
        <w:rPr>
          <w:color w:val="5B9BD5" w:themeColor="accent1"/>
        </w:rPr>
        <w:t>telyitä</w:t>
      </w:r>
      <w:r w:rsidRPr="002C7962">
        <w:rPr>
          <w:color w:val="5B9BD5" w:themeColor="accent1"/>
        </w:rPr>
        <w:t xml:space="preserve"> puitejärjestelyn perustamiseen ovat rajoitettu menettely</w:t>
      </w:r>
      <w:r w:rsidR="00991235" w:rsidRPr="002C7962">
        <w:rPr>
          <w:color w:val="5B9BD5" w:themeColor="accent1"/>
        </w:rPr>
        <w:t>,</w:t>
      </w:r>
      <w:r w:rsidRPr="002C7962">
        <w:rPr>
          <w:color w:val="5B9BD5" w:themeColor="accent1"/>
        </w:rPr>
        <w:t xml:space="preserve"> </w:t>
      </w:r>
      <w:r w:rsidR="00991235" w:rsidRPr="002C7962">
        <w:rPr>
          <w:color w:val="5B9BD5" w:themeColor="accent1"/>
        </w:rPr>
        <w:t xml:space="preserve">avoin menettely </w:t>
      </w:r>
      <w:r w:rsidRPr="002C7962">
        <w:rPr>
          <w:color w:val="5B9BD5" w:themeColor="accent1"/>
        </w:rPr>
        <w:t>ja vaikeasti rajattavissa järjestelyissä neuvottelumenettely.</w:t>
      </w:r>
      <w:r>
        <w:rPr>
          <w:color w:val="5B9BD5" w:themeColor="accent1"/>
        </w:rPr>
        <w:t xml:space="preserve"> </w:t>
      </w:r>
      <w:r w:rsidR="00843E5A">
        <w:t>Puitejärjestelyyn toimittajia valittaessa tulee noudattaa niitä kilpailutuksen menettelyvelvoitteita, mitä käytettävästä hankintam</w:t>
      </w:r>
      <w:r w:rsidR="004803BC">
        <w:t>enettelystä on laissa esitetty, kuten:</w:t>
      </w:r>
    </w:p>
    <w:p w14:paraId="4FD30B37" w14:textId="21171A04" w:rsidR="004803BC" w:rsidRPr="004803BC" w:rsidRDefault="004803BC" w:rsidP="004803BC">
      <w:pPr>
        <w:pStyle w:val="Luettelokappale"/>
        <w:numPr>
          <w:ilvl w:val="0"/>
          <w:numId w:val="19"/>
        </w:numPr>
        <w:rPr>
          <w:color w:val="70AD47" w:themeColor="accent6"/>
        </w:rPr>
      </w:pPr>
      <w:r w:rsidRPr="004803BC">
        <w:rPr>
          <w:color w:val="70AD47" w:themeColor="accent6"/>
        </w:rPr>
        <w:t>ilmoittamisvelvoitteita</w:t>
      </w:r>
    </w:p>
    <w:p w14:paraId="2E0C1890" w14:textId="59B64A35" w:rsidR="004803BC" w:rsidRPr="004803BC" w:rsidRDefault="004803BC" w:rsidP="004803BC">
      <w:pPr>
        <w:pStyle w:val="Luettelokappale"/>
        <w:numPr>
          <w:ilvl w:val="0"/>
          <w:numId w:val="19"/>
        </w:numPr>
        <w:rPr>
          <w:color w:val="70AD47" w:themeColor="accent6"/>
        </w:rPr>
      </w:pPr>
      <w:r w:rsidRPr="004803BC">
        <w:rPr>
          <w:color w:val="70AD47" w:themeColor="accent6"/>
        </w:rPr>
        <w:t>määräaikoja</w:t>
      </w:r>
    </w:p>
    <w:p w14:paraId="0E4DCCCB" w14:textId="4149B184" w:rsidR="004803BC" w:rsidRDefault="004803BC" w:rsidP="004803BC">
      <w:pPr>
        <w:pStyle w:val="Luettelokappale"/>
        <w:numPr>
          <w:ilvl w:val="0"/>
          <w:numId w:val="19"/>
        </w:numPr>
        <w:rPr>
          <w:color w:val="70AD47" w:themeColor="accent6"/>
        </w:rPr>
      </w:pPr>
      <w:r w:rsidRPr="004803BC">
        <w:rPr>
          <w:color w:val="70AD47" w:themeColor="accent6"/>
        </w:rPr>
        <w:t>hankinnan kohteen määrittelyä koskevia säännöksiä</w:t>
      </w:r>
    </w:p>
    <w:p w14:paraId="432BDBC3" w14:textId="5A2DD697" w:rsidR="004803BC" w:rsidRDefault="0030578F" w:rsidP="004803BC">
      <w:pPr>
        <w:pStyle w:val="Luettelokappale"/>
        <w:numPr>
          <w:ilvl w:val="0"/>
          <w:numId w:val="19"/>
        </w:numPr>
        <w:rPr>
          <w:color w:val="70AD47" w:themeColor="accent6"/>
        </w:rPr>
      </w:pPr>
      <w:r>
        <w:rPr>
          <w:color w:val="70AD47" w:themeColor="accent6"/>
        </w:rPr>
        <w:t>ehdokkaiden ja tarjoajien soveltuvuuteen ja valintaan liittyviä säännöksiä</w:t>
      </w:r>
    </w:p>
    <w:p w14:paraId="2B8E3972" w14:textId="0A3E950C" w:rsidR="0030578F" w:rsidRDefault="0030578F" w:rsidP="004803BC">
      <w:pPr>
        <w:pStyle w:val="Luettelokappale"/>
        <w:numPr>
          <w:ilvl w:val="0"/>
          <w:numId w:val="19"/>
        </w:numPr>
        <w:rPr>
          <w:color w:val="70AD47" w:themeColor="accent6"/>
        </w:rPr>
      </w:pPr>
      <w:r>
        <w:rPr>
          <w:color w:val="70AD47" w:themeColor="accent6"/>
        </w:rPr>
        <w:t>tarjousten vertailuperusteiden ja vertailuun liittyviä säännöksiä</w:t>
      </w:r>
    </w:p>
    <w:p w14:paraId="5714209C" w14:textId="1502CDCD" w:rsidR="00BA16D7" w:rsidRPr="00D80D23" w:rsidRDefault="001142DD" w:rsidP="001142DD">
      <w:pPr>
        <w:rPr>
          <w:i/>
        </w:rPr>
      </w:pPr>
      <w:r>
        <w:t>Puitejärjestelyn perustamiseen käytettävällä hankintamenettelyllä valitaan puitejärjestelyyn yksi tai useampi toimittaja.</w:t>
      </w:r>
      <w:r w:rsidR="00F44915">
        <w:rPr>
          <w:i/>
        </w:rPr>
        <w:t xml:space="preserve"> Toimittajien määrä on ilmoitettava ennalta hankintailmoituksessa, neuvottelukutsussa tai tarjouspyynnössä. </w:t>
      </w:r>
      <w:r w:rsidR="008A44FD" w:rsidRPr="008A44FD">
        <w:t>Pu</w:t>
      </w:r>
      <w:r w:rsidR="00F44915" w:rsidRPr="008A44FD">
        <w:t>itejärjestelyyn on valittava ilmoitettu määrä toimittajia, jollei soveltuvuusvaatimukset täyttäviä tarjoajia tai hyväksyttäviä tarjouksia ole vähemmän.</w:t>
      </w:r>
      <w:r w:rsidR="00532E38">
        <w:t xml:space="preserve"> (4</w:t>
      </w:r>
      <w:r w:rsidR="005D3581">
        <w:t>2</w:t>
      </w:r>
      <w:r w:rsidR="00532E38">
        <w:t xml:space="preserve"> §</w:t>
      </w:r>
      <w:r w:rsidR="00AE4F6A">
        <w:t xml:space="preserve"> mom. 3</w:t>
      </w:r>
      <w:r w:rsidR="00532E38">
        <w:t>)</w:t>
      </w:r>
      <w:r w:rsidR="00D80D23">
        <w:t xml:space="preserve"> </w:t>
      </w:r>
      <w:r w:rsidR="00D80D23">
        <w:rPr>
          <w:i/>
        </w:rPr>
        <w:t>Puitejärjestelyyn perustuvat hankinnat on tehtävä puitejärjestelyyn valittujen toimittajien ja sellaisten hankintayksiköiden kesken, jotka on selkeästi ilmaistu puitejärjestelyn kilpailutuksen hankinta-asiakirjoissa.</w:t>
      </w:r>
      <w:r w:rsidR="00E44098">
        <w:rPr>
          <w:i/>
        </w:rPr>
        <w:t xml:space="preserve"> (42 § mom. 4)</w:t>
      </w:r>
    </w:p>
    <w:p w14:paraId="113E5885" w14:textId="0EA2B451" w:rsidR="00000283" w:rsidRDefault="00BF49F1" w:rsidP="00000283">
      <w:pPr>
        <w:pStyle w:val="Otsikko2"/>
      </w:pPr>
      <w:r>
        <w:t>Puitejärjestelyn perustamisessa huomioitavia asioita</w:t>
      </w:r>
    </w:p>
    <w:p w14:paraId="62F1C0BA" w14:textId="77777777" w:rsidR="00871AB1" w:rsidRDefault="00871AB1" w:rsidP="00871AB1">
      <w:pPr>
        <w:pStyle w:val="Otsikko3"/>
      </w:pPr>
      <w:r>
        <w:t>Jälki-ilmoitusvelvollisuus</w:t>
      </w:r>
    </w:p>
    <w:p w14:paraId="6F7B8013" w14:textId="19B8A051" w:rsidR="00871AB1" w:rsidRPr="00685929" w:rsidRDefault="00871AB1" w:rsidP="00871AB1">
      <w:r>
        <w:t xml:space="preserve">Puitejärjestelyn perustamisesta </w:t>
      </w:r>
      <w:r w:rsidR="005F7930">
        <w:t>tulee toimittaa</w:t>
      </w:r>
      <w:r>
        <w:t xml:space="preserve"> julkaistavaksi jälki-ilmoitus EU-vakiolomakkeella osoitteessa </w:t>
      </w:r>
      <w:hyperlink r:id="rId6" w:history="1">
        <w:r w:rsidRPr="000D75F8">
          <w:rPr>
            <w:rStyle w:val="Hyperlinkki"/>
          </w:rPr>
          <w:t>www.hankintailmoitukset.fi</w:t>
        </w:r>
      </w:hyperlink>
      <w:r>
        <w:t>. Jälki-ilmoitus tulee toimittaa julkaistavaksi 30 päivän kuluessa puitejärjestelyn tekemistä koskevan päätöksen tekemisestä. Jälki-ilmoitusvelvollisuus ei koske puitejärjestelyyn per</w:t>
      </w:r>
      <w:r w:rsidR="00DE0AC0">
        <w:t>ustuvia yksittäisiä hankintoja. (58 § mom. 5)</w:t>
      </w:r>
    </w:p>
    <w:p w14:paraId="1CE3B2A6" w14:textId="78469EE5" w:rsidR="006C3631" w:rsidRDefault="00D45106" w:rsidP="006C3631">
      <w:pPr>
        <w:pStyle w:val="Otsikko3"/>
      </w:pPr>
      <w:r>
        <w:t>Ehdokkaan tai tarjoajan vähimmä</w:t>
      </w:r>
      <w:r w:rsidR="00871AB1">
        <w:t xml:space="preserve">isliikevaihtoa koskeva </w:t>
      </w:r>
      <w:r>
        <w:t>vaatimus</w:t>
      </w:r>
    </w:p>
    <w:p w14:paraId="4789D56C" w14:textId="1923F9A9" w:rsidR="00034A56" w:rsidRDefault="00034A56" w:rsidP="00000283">
      <w:r>
        <w:t>Ehdokkaan tai tarjoajan taloudellista ja rahoituksellista tilannetta koskien voidaan esittää vähimmäis</w:t>
      </w:r>
      <w:r w:rsidR="008A0513">
        <w:t>liikevaihtoa koskeva vaatimus. Jos puitejärjestelyyn perustuvat hankinnat tullaan tekemään kilpailuttamalla puitejärjestelyssä mukana olevien toimittajien kesken</w:t>
      </w:r>
      <w:r w:rsidR="0087700D">
        <w:t xml:space="preserve"> (ks. kohta 2.2.3)</w:t>
      </w:r>
      <w:r w:rsidR="008A0513">
        <w:t>, on</w:t>
      </w:r>
      <w:r>
        <w:t xml:space="preserve"> vähimmäisliikevaihtoa koskeva vaatimus asetettava samanaikaisesti toteutettavien hankintasopimusten ennakoidun e</w:t>
      </w:r>
      <w:r w:rsidR="00741DCC">
        <w:t>nimmäisarvon perusteella tai jos tätä ei tiedetä, puitejärjestelyn ennakoidun arvon perusteella.</w:t>
      </w:r>
      <w:r w:rsidR="002E7F51">
        <w:t xml:space="preserve"> (85 § mom. 4)</w:t>
      </w:r>
    </w:p>
    <w:p w14:paraId="5E230CAE" w14:textId="207B2267" w:rsidR="00000283" w:rsidRPr="00000283" w:rsidRDefault="00000283" w:rsidP="00034A56">
      <w:pPr>
        <w:pStyle w:val="Otsikko3"/>
      </w:pPr>
      <w:r>
        <w:t>Poissulkemisen edellytysten ja soveltuvuusvaatimusten täyttymisen selvittäminen</w:t>
      </w:r>
    </w:p>
    <w:p w14:paraId="685BB27A" w14:textId="692BC70B" w:rsidR="00D00E3B" w:rsidRDefault="0038075C" w:rsidP="00D00E3B">
      <w:r>
        <w:t>Viimeistään e</w:t>
      </w:r>
      <w:r w:rsidR="00000283">
        <w:t>nnen</w:t>
      </w:r>
      <w:r w:rsidR="00207DE9">
        <w:t xml:space="preserve"> puitejärjestelyyn perustuvan</w:t>
      </w:r>
      <w:r w:rsidR="00000283">
        <w:t xml:space="preserve"> hankintasopimuksen tekemistä hankintayksikön on vaadittava valittua tarjoajaa toimittamaan ajantasaiset todistukset ja selvitykset sen tutkimiseksi, koskeeko tarjoajaa pakollinen tai harkinnanvarainen poissulkemisperuste ja täyttyvätkö hankintayksikön asettamat soveltuvuusvaatimukset. </w:t>
      </w:r>
      <w:r w:rsidR="000B1E28">
        <w:t>Selvityksiä ja todistuksia ei tarvitse vaatia jos</w:t>
      </w:r>
    </w:p>
    <w:p w14:paraId="3A08AE4C" w14:textId="2D030059" w:rsidR="000B1E28" w:rsidRDefault="000B1E28" w:rsidP="000B1E28">
      <w:pPr>
        <w:pStyle w:val="Luettelokappale"/>
        <w:numPr>
          <w:ilvl w:val="0"/>
          <w:numId w:val="17"/>
        </w:numPr>
      </w:pPr>
      <w:r>
        <w:t>ne on vaadittu jo puitejärjestelyä perustettaessa tai</w:t>
      </w:r>
    </w:p>
    <w:p w14:paraId="0D0CB476" w14:textId="7AFDEC04" w:rsidR="00371D55" w:rsidRDefault="000B1E28" w:rsidP="00371D55">
      <w:pPr>
        <w:pStyle w:val="Luettelokappale"/>
        <w:numPr>
          <w:ilvl w:val="0"/>
          <w:numId w:val="17"/>
        </w:numPr>
      </w:pPr>
      <w:r>
        <w:t>jos hankinta tehdään puitejärjestelyssä vahvistettujen ehtojen mukaisesti ilman kilpailuttamista</w:t>
      </w:r>
      <w:r w:rsidR="008D7C79">
        <w:t xml:space="preserve"> (ks. kohta 2.2.1)</w:t>
      </w:r>
      <w:r w:rsidR="007D15A1">
        <w:t>.</w:t>
      </w:r>
      <w:r w:rsidR="00D57076">
        <w:t xml:space="preserve"> (88 §)</w:t>
      </w:r>
    </w:p>
    <w:p w14:paraId="234F786F" w14:textId="3BFE64B3" w:rsidR="00CE4ECB" w:rsidRDefault="00CE4ECB" w:rsidP="00CE4ECB">
      <w:pPr>
        <w:pStyle w:val="Otsikko3"/>
      </w:pPr>
      <w:r>
        <w:lastRenderedPageBreak/>
        <w:t>Puitejärjestelyn kesto</w:t>
      </w:r>
    </w:p>
    <w:p w14:paraId="505596D6" w14:textId="509E7C5C" w:rsidR="003F5C03" w:rsidRPr="00FC50E4" w:rsidRDefault="00CE4ECB" w:rsidP="00FC50E4">
      <w:pPr>
        <w:rPr>
          <w:color w:val="70AD47" w:themeColor="accent6"/>
        </w:rPr>
      </w:pPr>
      <w:r>
        <w:rPr>
          <w:i/>
        </w:rPr>
        <w:t>Puitejärjestely voi olla voimassa enintään neljä vuotta. Hankinnan kohteen sitä perustellusti edellyttäessä puitejärjestely voi poikkeuksellisesti olla kestoltaan pidempi.</w:t>
      </w:r>
      <w:r w:rsidRPr="000B12ED">
        <w:rPr>
          <w:i/>
        </w:rPr>
        <w:t xml:space="preserve"> </w:t>
      </w:r>
      <w:r w:rsidR="007252CD">
        <w:rPr>
          <w:i/>
        </w:rPr>
        <w:t xml:space="preserve">Puitejärjestelyn ehtoihin ei saa tehdä olennaisia muutoksia sen voimassaoloaikana. </w:t>
      </w:r>
      <w:r w:rsidR="00FC50E4">
        <w:rPr>
          <w:color w:val="70AD47" w:themeColor="accent6"/>
        </w:rPr>
        <w:t xml:space="preserve">Puitejärjestelyyn perustuva hankintasopimus voi jatkua vielä puitejärjestelyn päättymisen jälkeen, kunhan se on tehty vielä puitejärjestelyn ollessa voimassa. </w:t>
      </w:r>
      <w:r w:rsidR="00DE0AC0">
        <w:rPr>
          <w:i/>
        </w:rPr>
        <w:t>(4</w:t>
      </w:r>
      <w:r w:rsidR="007252CD">
        <w:rPr>
          <w:i/>
        </w:rPr>
        <w:t>2 § mom. 5</w:t>
      </w:r>
      <w:r w:rsidR="00DE0AC0">
        <w:rPr>
          <w:i/>
        </w:rPr>
        <w:t>)</w:t>
      </w:r>
      <w:r w:rsidR="00FC50E4">
        <w:rPr>
          <w:i/>
        </w:rPr>
        <w:t xml:space="preserve"> </w:t>
      </w:r>
    </w:p>
    <w:p w14:paraId="071818D1" w14:textId="62352D9E" w:rsidR="00B017D5" w:rsidRDefault="003F5C03" w:rsidP="00CE4ECB">
      <w:pPr>
        <w:rPr>
          <w:color w:val="5B9BD5" w:themeColor="accent1"/>
        </w:rPr>
      </w:pPr>
      <w:r>
        <w:rPr>
          <w:color w:val="5B9BD5" w:themeColor="accent1"/>
        </w:rPr>
        <w:t>Puitejärjestely voidaan jakaa perustamisvaiheessa alkuperäiseen sopimuskauteen ja optiokausiin. Esimerkiksi puitejärjes</w:t>
      </w:r>
      <w:r w:rsidR="0011560A">
        <w:rPr>
          <w:color w:val="5B9BD5" w:themeColor="accent1"/>
        </w:rPr>
        <w:t xml:space="preserve">tely voi koostua kahden vuoden sopimuskaudesta, jota voi seurata kaksi vuoden mittaista optiokautta. </w:t>
      </w:r>
      <w:r w:rsidR="00886386">
        <w:rPr>
          <w:color w:val="5B9BD5" w:themeColor="accent1"/>
        </w:rPr>
        <w:t>Tällöin puitejärjestelyn kestoksi katsotaan 4 vuotta riippumatta siitä käytetäänkö optiovuosia.</w:t>
      </w:r>
    </w:p>
    <w:p w14:paraId="43E4CFA2" w14:textId="7F43784F" w:rsidR="00CE4ECB" w:rsidRDefault="00B017D5" w:rsidP="00CE4ECB">
      <w:pPr>
        <w:rPr>
          <w:color w:val="5B9BD5" w:themeColor="accent1"/>
        </w:rPr>
      </w:pPr>
      <w:r>
        <w:rPr>
          <w:color w:val="5B9BD5" w:themeColor="accent1"/>
        </w:rPr>
        <w:t>Puitejärjestelyn keston aikana voidaan tarkistaa veloitusperusteita indekseillä (esim. Suunnittelutyön kustannusseuranta). Veloitusperusteiden tarkistaminen voidaan tehdä esimerkiksi optiokaudet vahvistettaessa tai vuosittain. Veloitusperusteiden tarkistaminen puitejärjestelyn keston aikana parantaa tarjousten vertailukelpoisuutta</w:t>
      </w:r>
      <w:r w:rsidR="007C1A11">
        <w:rPr>
          <w:color w:val="5B9BD5" w:themeColor="accent1"/>
        </w:rPr>
        <w:t xml:space="preserve"> useamman vuoden kestoisissa puitejärjestelyissä</w:t>
      </w:r>
      <w:r>
        <w:rPr>
          <w:color w:val="5B9BD5" w:themeColor="accent1"/>
        </w:rPr>
        <w:t xml:space="preserve">, kun tarjoajien ei tarvitse hinnoitella riskiä </w:t>
      </w:r>
      <w:r w:rsidR="008D2963">
        <w:rPr>
          <w:color w:val="5B9BD5" w:themeColor="accent1"/>
        </w:rPr>
        <w:t>hintojen noususta tarjoushinnoissaan</w:t>
      </w:r>
      <w:r>
        <w:rPr>
          <w:color w:val="5B9BD5" w:themeColor="accent1"/>
        </w:rPr>
        <w:t>.</w:t>
      </w:r>
    </w:p>
    <w:p w14:paraId="608ABA93" w14:textId="24CA27A7" w:rsidR="00A95D4F" w:rsidRDefault="00A95D4F" w:rsidP="00A95D4F">
      <w:pPr>
        <w:pStyle w:val="Otsikko1"/>
      </w:pPr>
      <w:r>
        <w:t>Puitejärjestelyyn perustuvat hankinnat</w:t>
      </w:r>
    </w:p>
    <w:p w14:paraId="15B60327" w14:textId="77777777" w:rsidR="004F3FFE" w:rsidRDefault="001D6D80" w:rsidP="004F3FFE">
      <w:pPr>
        <w:rPr>
          <w:color w:val="000000" w:themeColor="text1"/>
        </w:rPr>
      </w:pPr>
      <w:r w:rsidRPr="001D6D80">
        <w:rPr>
          <w:i/>
          <w:color w:val="000000" w:themeColor="text1"/>
        </w:rPr>
        <w:t xml:space="preserve">Puitejärjestelyyn </w:t>
      </w:r>
      <w:r>
        <w:rPr>
          <w:i/>
          <w:color w:val="000000" w:themeColor="text1"/>
        </w:rPr>
        <w:t>perustuvat hankintasopimukset on tehtävä puitejärjestelyyn valittujen toimittajien ja sellaisten hankintayksiköiden kesken, jotka on selkeästi ilmaistu</w:t>
      </w:r>
      <w:r w:rsidR="0005706E">
        <w:rPr>
          <w:i/>
          <w:color w:val="000000" w:themeColor="text1"/>
        </w:rPr>
        <w:t xml:space="preserve"> puitejärjestelyn kilpailutuksen hankinta-asiakirjoissa.</w:t>
      </w:r>
      <w:r w:rsidR="00117819">
        <w:rPr>
          <w:i/>
          <w:color w:val="000000" w:themeColor="text1"/>
        </w:rPr>
        <w:t xml:space="preserve"> (42 § mom. 4)</w:t>
      </w:r>
      <w:r w:rsidR="004F3FFE" w:rsidRPr="004F3FFE">
        <w:rPr>
          <w:color w:val="000000" w:themeColor="text1"/>
        </w:rPr>
        <w:t xml:space="preserve"> </w:t>
      </w:r>
    </w:p>
    <w:p w14:paraId="22415511" w14:textId="694B95EA" w:rsidR="001D6D80" w:rsidRPr="00FB10A7" w:rsidRDefault="004F3FFE" w:rsidP="00AC5561">
      <w:pPr>
        <w:rPr>
          <w:color w:val="5B9BD5" w:themeColor="accent1"/>
        </w:rPr>
      </w:pPr>
      <w:r>
        <w:rPr>
          <w:color w:val="000000" w:themeColor="text1"/>
        </w:rPr>
        <w:t>Puitejärjestelyn perustamisvaiheessa määri</w:t>
      </w:r>
      <w:r w:rsidR="00B45250">
        <w:rPr>
          <w:color w:val="000000" w:themeColor="text1"/>
        </w:rPr>
        <w:t>tellään, millä</w:t>
      </w:r>
      <w:r>
        <w:rPr>
          <w:color w:val="000000" w:themeColor="text1"/>
        </w:rPr>
        <w:t xml:space="preserve"> perusteilla puitejärjestelyyn perustuvat hankinnat tullaan tekemään</w:t>
      </w:r>
      <w:r w:rsidR="000A41A6">
        <w:rPr>
          <w:color w:val="000000" w:themeColor="text1"/>
        </w:rPr>
        <w:t xml:space="preserve"> puitejärjes</w:t>
      </w:r>
      <w:r w:rsidR="00DA42E1">
        <w:rPr>
          <w:color w:val="000000" w:themeColor="text1"/>
        </w:rPr>
        <w:t>telyyn valituilta toimittajilta</w:t>
      </w:r>
      <w:r>
        <w:rPr>
          <w:color w:val="000000" w:themeColor="text1"/>
        </w:rPr>
        <w:t xml:space="preserve">. </w:t>
      </w:r>
      <w:r>
        <w:rPr>
          <w:color w:val="5B9BD5" w:themeColor="accent1"/>
        </w:rPr>
        <w:t>Perusteet hankintojen tekemiselle on oleellista esittää myös puitejärjestelyn sopimuksessa.</w:t>
      </w:r>
    </w:p>
    <w:p w14:paraId="27C4F418" w14:textId="5BD81BDD" w:rsidR="000773F7" w:rsidRDefault="00E46952" w:rsidP="00E46952">
      <w:pPr>
        <w:pStyle w:val="Otsikko2"/>
      </w:pPr>
      <w:r>
        <w:t>Yhden toimittajan puitejärjestelyt</w:t>
      </w:r>
    </w:p>
    <w:p w14:paraId="12FA01D2" w14:textId="3F1BFC53" w:rsidR="00423331" w:rsidRPr="00423331" w:rsidRDefault="00423331" w:rsidP="00E46952">
      <w:r>
        <w:t xml:space="preserve">Puitejärjestelyissä, joissa on yksi toimittaja, puitejärjestelyyn perustuvat hankinnat tulee tehdä puitejärjestelyssä vahvistettujen ehtojen mukaisesti. </w:t>
      </w:r>
      <w:r w:rsidR="009A1EF5">
        <w:t xml:space="preserve">Hankinnat tehdään yleisesti pyytämällä toimittajalta kirjallinen tarjous hankittavista palveluista. </w:t>
      </w:r>
      <w:r>
        <w:rPr>
          <w:i/>
        </w:rPr>
        <w:t>Hankintayksikkö voi pyytää toimittajaa tarvittaessa kirjallisesti täsmentämään tai täydentämään tarjoustaan.</w:t>
      </w:r>
      <w:r w:rsidR="00120224">
        <w:rPr>
          <w:i/>
        </w:rPr>
        <w:t xml:space="preserve"> (43 § mom. 1)</w:t>
      </w:r>
    </w:p>
    <w:p w14:paraId="766A01E8" w14:textId="0CB1CD6C" w:rsidR="00E46952" w:rsidRDefault="00E46952" w:rsidP="00E46952">
      <w:pPr>
        <w:pStyle w:val="Otsikko2"/>
      </w:pPr>
      <w:r>
        <w:t>Usean toimittajan puitejärjestelyt</w:t>
      </w:r>
    </w:p>
    <w:p w14:paraId="469706AE" w14:textId="4CB5A47E" w:rsidR="00120559" w:rsidRDefault="00DA5501" w:rsidP="0068121C">
      <w:r>
        <w:t xml:space="preserve">Puitejärjestelyissä joissa on mukana useampi toimittaja, tulee </w:t>
      </w:r>
      <w:r w:rsidR="00BC36AE">
        <w:t xml:space="preserve">esittää perusteet </w:t>
      </w:r>
      <w:r>
        <w:t>yksittäisten hankintasopimusten jakamiselle toimittajien keske</w:t>
      </w:r>
      <w:r w:rsidR="00A53FF8">
        <w:t>n</w:t>
      </w:r>
      <w:r>
        <w:t xml:space="preserve">. </w:t>
      </w:r>
      <w:r w:rsidR="00120559">
        <w:t>Usean toimittajan puitejärjestelyissä puitejärjestelyyn perustuvia hankintoja voidaan tehdä seuraavin tavoin:</w:t>
      </w:r>
    </w:p>
    <w:p w14:paraId="2AE80BC4" w14:textId="6C7D1FFB" w:rsidR="00120559" w:rsidRDefault="00120559" w:rsidP="00120559">
      <w:pPr>
        <w:pStyle w:val="Luettelokappale"/>
        <w:numPr>
          <w:ilvl w:val="0"/>
          <w:numId w:val="16"/>
        </w:numPr>
      </w:pPr>
      <w:r>
        <w:t>Vahvistettujen ehtojen mukaisesti ilman kilpailuttamista</w:t>
      </w:r>
    </w:p>
    <w:p w14:paraId="67D21681" w14:textId="67F548D1" w:rsidR="00120559" w:rsidRDefault="00120559" w:rsidP="00120559">
      <w:pPr>
        <w:pStyle w:val="Luettelokappale"/>
        <w:numPr>
          <w:ilvl w:val="0"/>
          <w:numId w:val="16"/>
        </w:numPr>
      </w:pPr>
      <w:r>
        <w:t>Osa vahvistettujen ehtojen mukaisesti ilman kilpailuttamista ja osa mukana olevien toimittajien kesken kilpailuttamalla</w:t>
      </w:r>
    </w:p>
    <w:p w14:paraId="14BEFAA1" w14:textId="236C4A49" w:rsidR="00F47E1D" w:rsidRPr="00F47E1D" w:rsidRDefault="00120559" w:rsidP="00F47E1D">
      <w:pPr>
        <w:pStyle w:val="Luettelokappale"/>
        <w:numPr>
          <w:ilvl w:val="0"/>
          <w:numId w:val="16"/>
        </w:numPr>
      </w:pPr>
      <w:r>
        <w:t>Mukana olevien toim</w:t>
      </w:r>
      <w:r w:rsidR="00CA64DE">
        <w:t>ittajien kesken kilpailuttamalla</w:t>
      </w:r>
    </w:p>
    <w:p w14:paraId="7AA4E160" w14:textId="290FBCDD" w:rsidR="00F47E1D" w:rsidRDefault="00F47E1D" w:rsidP="00F47E1D">
      <w:pPr>
        <w:rPr>
          <w:color w:val="70AD47" w:themeColor="accent6"/>
        </w:rPr>
      </w:pPr>
      <w:r w:rsidRPr="00F47E1D">
        <w:rPr>
          <w:color w:val="70AD47" w:themeColor="accent6"/>
        </w:rPr>
        <w:t>Puitejärjestelyä perustettaessa tulee tarjouspyynnössä</w:t>
      </w:r>
      <w:r w:rsidR="00596F0C">
        <w:rPr>
          <w:color w:val="70AD47" w:themeColor="accent6"/>
        </w:rPr>
        <w:t xml:space="preserve">, mahdollisessa neuvottelukutsussa tai </w:t>
      </w:r>
      <w:r w:rsidRPr="00F47E1D">
        <w:rPr>
          <w:color w:val="70AD47" w:themeColor="accent6"/>
        </w:rPr>
        <w:t>hankintailmoituksessa esittää</w:t>
      </w:r>
      <w:r w:rsidR="005A4596">
        <w:rPr>
          <w:color w:val="70AD47" w:themeColor="accent6"/>
        </w:rPr>
        <w:t xml:space="preserve"> periaatteet, joilla</w:t>
      </w:r>
      <w:r w:rsidRPr="00F47E1D">
        <w:rPr>
          <w:color w:val="70AD47" w:themeColor="accent6"/>
        </w:rPr>
        <w:t xml:space="preserve"> puitejärjestelyyn perust</w:t>
      </w:r>
      <w:r w:rsidR="005A4596">
        <w:rPr>
          <w:color w:val="70AD47" w:themeColor="accent6"/>
        </w:rPr>
        <w:t>uvia hankintoja tehdään</w:t>
      </w:r>
      <w:r w:rsidRPr="00F47E1D">
        <w:rPr>
          <w:color w:val="70AD47" w:themeColor="accent6"/>
        </w:rPr>
        <w:t xml:space="preserve">. </w:t>
      </w:r>
    </w:p>
    <w:p w14:paraId="64B066B5" w14:textId="307F54EE" w:rsidR="003D0A90" w:rsidRPr="00F47E1D" w:rsidRDefault="003D0A90" w:rsidP="00F47E1D">
      <w:pPr>
        <w:rPr>
          <w:color w:val="70AD47" w:themeColor="accent6"/>
        </w:rPr>
      </w:pPr>
      <w:r>
        <w:rPr>
          <w:color w:val="70AD47" w:themeColor="accent6"/>
        </w:rPr>
        <w:lastRenderedPageBreak/>
        <w:t>Puitejärjestely</w:t>
      </w:r>
      <w:r w:rsidR="00BF61EF">
        <w:rPr>
          <w:color w:val="70AD47" w:themeColor="accent6"/>
        </w:rPr>
        <w:t>yn perustuen</w:t>
      </w:r>
      <w:r>
        <w:rPr>
          <w:color w:val="70AD47" w:themeColor="accent6"/>
        </w:rPr>
        <w:t xml:space="preserve"> </w:t>
      </w:r>
      <w:r w:rsidR="00BF61EF">
        <w:rPr>
          <w:color w:val="70AD47" w:themeColor="accent6"/>
        </w:rPr>
        <w:t xml:space="preserve">voidaan tehdä </w:t>
      </w:r>
      <w:r w:rsidR="008E2FD2">
        <w:rPr>
          <w:color w:val="70AD47" w:themeColor="accent6"/>
        </w:rPr>
        <w:t xml:space="preserve">kansallisen kynnysarvon alittavia hankintoja </w:t>
      </w:r>
      <w:r>
        <w:rPr>
          <w:color w:val="70AD47" w:themeColor="accent6"/>
        </w:rPr>
        <w:t>pääasiallisesta valintamallista riippumatta hankinta</w:t>
      </w:r>
      <w:r w:rsidR="008E2FD2">
        <w:rPr>
          <w:color w:val="70AD47" w:themeColor="accent6"/>
        </w:rPr>
        <w:t xml:space="preserve">yksikön vapaan harkinnan mukaan </w:t>
      </w:r>
      <w:r>
        <w:rPr>
          <w:color w:val="70AD47" w:themeColor="accent6"/>
        </w:rPr>
        <w:t>joltain puitejärjestelyssä mukana olevalta toimittajalta.</w:t>
      </w:r>
      <w:r w:rsidR="0001767F">
        <w:rPr>
          <w:color w:val="70AD47" w:themeColor="accent6"/>
        </w:rPr>
        <w:t xml:space="preserve"> Edellä mainittu käytäntö </w:t>
      </w:r>
      <w:r w:rsidR="0065196D">
        <w:rPr>
          <w:color w:val="70AD47" w:themeColor="accent6"/>
        </w:rPr>
        <w:t>tulee esittää</w:t>
      </w:r>
      <w:r w:rsidR="0062685D">
        <w:rPr>
          <w:color w:val="70AD47" w:themeColor="accent6"/>
        </w:rPr>
        <w:t xml:space="preserve"> hankinta-asiakirjoissa.</w:t>
      </w:r>
    </w:p>
    <w:p w14:paraId="324008AB" w14:textId="75EF5847" w:rsidR="0068121C" w:rsidRDefault="00F80593" w:rsidP="00F80593">
      <w:pPr>
        <w:pStyle w:val="Otsikko3"/>
      </w:pPr>
      <w:r>
        <w:t>Vahvistettujen ehtojen mukaisesti ilman kilpailuttamista</w:t>
      </w:r>
    </w:p>
    <w:p w14:paraId="7D1A5301" w14:textId="53289E7B" w:rsidR="00F80593" w:rsidRDefault="00F80593" w:rsidP="00F80593">
      <w:pPr>
        <w:rPr>
          <w:i/>
          <w:color w:val="70AD47" w:themeColor="accent6"/>
        </w:rPr>
      </w:pPr>
      <w:r>
        <w:rPr>
          <w:i/>
        </w:rPr>
        <w:t xml:space="preserve">Jos hankintayksikkö on tehnyt puitejärjestelyn usean toimittajan kanssa ja puitejärjestelyn kaikki ehdot </w:t>
      </w:r>
      <w:r w:rsidR="005A75DE">
        <w:rPr>
          <w:i/>
        </w:rPr>
        <w:t xml:space="preserve">ja järjestelyyn perustuvien hankintojen tarjoajien valinnan määrittävät puolueettomat ehdot </w:t>
      </w:r>
      <w:r>
        <w:rPr>
          <w:i/>
        </w:rPr>
        <w:t>on vahvistettu</w:t>
      </w:r>
      <w:r w:rsidR="005A75DE">
        <w:rPr>
          <w:i/>
        </w:rPr>
        <w:t xml:space="preserve"> tarjouspyynnössä</w:t>
      </w:r>
      <w:r>
        <w:rPr>
          <w:i/>
        </w:rPr>
        <w:t xml:space="preserve">, puitejärjestelyyn perustuvat hankinnat on tehtävä ilman kilpailuttamista valitsemalla toimittaja noudattamalla puitejärjestelyn ehtoja ja puitejärjestelyn tarjouspyynnössä esitettyjä perusteita. </w:t>
      </w:r>
      <w:r w:rsidR="00E91F42">
        <w:rPr>
          <w:i/>
        </w:rPr>
        <w:t>(43 § mom. 2)</w:t>
      </w:r>
    </w:p>
    <w:p w14:paraId="1E27F09E" w14:textId="22A7FC11" w:rsidR="00F673AD" w:rsidRDefault="0041425E" w:rsidP="00F80593">
      <w:pPr>
        <w:rPr>
          <w:color w:val="70AD47" w:themeColor="accent6"/>
        </w:rPr>
      </w:pPr>
      <w:r>
        <w:rPr>
          <w:color w:val="70AD47" w:themeColor="accent6"/>
        </w:rPr>
        <w:t xml:space="preserve">Hankintayksikön tulee esittää puitejärjestelyn perustamista koskevassa hankintailmoituksessa, tarjouspyynnössä tai mahdollisessa neuvottelukutsussa perusteet, joilla puitejärjestelyyn perustuvat hankinnat tehdään. Toimittajan valintamallin tulee olla mekaaninen ja sellainen, ettei toimittajan valinta perustu hankintayksikön vapaaseen </w:t>
      </w:r>
      <w:r w:rsidR="00F55FB5">
        <w:rPr>
          <w:color w:val="70AD47" w:themeColor="accent6"/>
        </w:rPr>
        <w:t>harkintaan</w:t>
      </w:r>
      <w:r>
        <w:rPr>
          <w:color w:val="70AD47" w:themeColor="accent6"/>
        </w:rPr>
        <w:t>. Keskeistä mallin käyttämisessä on se, että kaikki toimittajavalinnassa käytettävät p</w:t>
      </w:r>
      <w:r w:rsidR="00F673AD">
        <w:rPr>
          <w:color w:val="70AD47" w:themeColor="accent6"/>
        </w:rPr>
        <w:t>erusteet on ilmoitettu ennalta</w:t>
      </w:r>
      <w:r w:rsidR="00A33788">
        <w:rPr>
          <w:color w:val="70AD47" w:themeColor="accent6"/>
        </w:rPr>
        <w:t xml:space="preserve"> ja että käytettävä malli on toimittajia kohtaan syrjimätön</w:t>
      </w:r>
      <w:r w:rsidR="00F673AD">
        <w:rPr>
          <w:color w:val="70AD47" w:themeColor="accent6"/>
        </w:rPr>
        <w:t>.</w:t>
      </w:r>
    </w:p>
    <w:p w14:paraId="1AF452A1" w14:textId="4978D4FA" w:rsidR="00B330F4" w:rsidRDefault="00B330F4" w:rsidP="00B330F4">
      <w:pPr>
        <w:pStyle w:val="Otsikko4"/>
      </w:pPr>
      <w:r>
        <w:t>Esimerkkejä valintamalleista</w:t>
      </w:r>
    </w:p>
    <w:p w14:paraId="65B8991E" w14:textId="77777777" w:rsidR="0001719A" w:rsidRPr="003E7DBE" w:rsidRDefault="0001719A" w:rsidP="0001719A">
      <w:pPr>
        <w:pStyle w:val="Luettelokappale"/>
        <w:numPr>
          <w:ilvl w:val="0"/>
          <w:numId w:val="22"/>
        </w:numPr>
        <w:rPr>
          <w:color w:val="5B9BD5" w:themeColor="accent1"/>
        </w:rPr>
      </w:pPr>
      <w:r w:rsidRPr="003E7DBE">
        <w:rPr>
          <w:color w:val="5B9BD5" w:themeColor="accent1"/>
        </w:rPr>
        <w:t>Hankintasopimusten jakaminen ennalta määritetyin osuuksin</w:t>
      </w:r>
    </w:p>
    <w:p w14:paraId="75D6F2AE" w14:textId="77777777" w:rsidR="0001719A" w:rsidRPr="003E7DBE" w:rsidRDefault="0001719A" w:rsidP="0001719A">
      <w:pPr>
        <w:pStyle w:val="Luettelokappale"/>
        <w:numPr>
          <w:ilvl w:val="1"/>
          <w:numId w:val="22"/>
        </w:numPr>
        <w:rPr>
          <w:color w:val="5B9BD5" w:themeColor="accent1"/>
        </w:rPr>
      </w:pPr>
      <w:r w:rsidRPr="003E7DBE">
        <w:rPr>
          <w:color w:val="5B9BD5" w:themeColor="accent1"/>
        </w:rPr>
        <w:t>Mallissa hankintayksikkö jakaa järjestelyn keston aikana hankinnat toimittajien kesken siten, että ennalta ilmoitettu prosenttijakauma toimittajien välillä toteutuu – prosenttijakauma voi mukailla esimerkiksi perustamisvaiheessa arvioitujen tarjousten paremmuusjärjestystä</w:t>
      </w:r>
    </w:p>
    <w:p w14:paraId="084AF4CF" w14:textId="77777777" w:rsidR="002E7AC5" w:rsidRDefault="00096B54" w:rsidP="00B330F4">
      <w:pPr>
        <w:pStyle w:val="Luettelokappale"/>
        <w:numPr>
          <w:ilvl w:val="0"/>
          <w:numId w:val="22"/>
        </w:numPr>
        <w:rPr>
          <w:color w:val="70AD47" w:themeColor="accent6"/>
        </w:rPr>
      </w:pPr>
      <w:r>
        <w:rPr>
          <w:color w:val="70AD47" w:themeColor="accent6"/>
        </w:rPr>
        <w:t xml:space="preserve">Halvin yhteishinta hankittavalle kokonaisuudelle </w:t>
      </w:r>
      <w:r w:rsidR="00952B47">
        <w:rPr>
          <w:color w:val="70AD47" w:themeColor="accent6"/>
        </w:rPr>
        <w:t xml:space="preserve">perustamisvaiheessa </w:t>
      </w:r>
      <w:r>
        <w:rPr>
          <w:color w:val="70AD47" w:themeColor="accent6"/>
        </w:rPr>
        <w:t>ilmoitettu</w:t>
      </w:r>
      <w:r w:rsidR="002E7AC5">
        <w:rPr>
          <w:color w:val="70AD47" w:themeColor="accent6"/>
        </w:rPr>
        <w:t>jen yksikköhintojen perusteella</w:t>
      </w:r>
      <w:r>
        <w:rPr>
          <w:color w:val="70AD47" w:themeColor="accent6"/>
        </w:rPr>
        <w:t xml:space="preserve"> </w:t>
      </w:r>
    </w:p>
    <w:p w14:paraId="4D60EFFA" w14:textId="50B724F1" w:rsidR="00B330F4" w:rsidRPr="003E7DBE" w:rsidRDefault="002E7AC5" w:rsidP="002E7AC5">
      <w:pPr>
        <w:pStyle w:val="Luettelokappale"/>
        <w:numPr>
          <w:ilvl w:val="1"/>
          <w:numId w:val="22"/>
        </w:numPr>
        <w:rPr>
          <w:color w:val="5B9BD5" w:themeColor="accent1"/>
        </w:rPr>
      </w:pPr>
      <w:r w:rsidRPr="003E7DBE">
        <w:rPr>
          <w:color w:val="5B9BD5" w:themeColor="accent1"/>
        </w:rPr>
        <w:t>E</w:t>
      </w:r>
      <w:r w:rsidR="00096B54" w:rsidRPr="003E7DBE">
        <w:rPr>
          <w:color w:val="5B9BD5" w:themeColor="accent1"/>
        </w:rPr>
        <w:t xml:space="preserve">simerkiksi </w:t>
      </w:r>
      <w:r w:rsidRPr="003E7DBE">
        <w:rPr>
          <w:color w:val="5B9BD5" w:themeColor="accent1"/>
        </w:rPr>
        <w:t xml:space="preserve">erilaiset kiinteähintaiset </w:t>
      </w:r>
      <w:r w:rsidR="00096B54" w:rsidRPr="003E7DBE">
        <w:rPr>
          <w:color w:val="5B9BD5" w:themeColor="accent1"/>
        </w:rPr>
        <w:t>tutkimukset</w:t>
      </w:r>
    </w:p>
    <w:p w14:paraId="16D1767F" w14:textId="77777777" w:rsidR="0001719A" w:rsidRDefault="0001719A" w:rsidP="0001719A">
      <w:pPr>
        <w:pStyle w:val="Luettelokappale"/>
        <w:numPr>
          <w:ilvl w:val="0"/>
          <w:numId w:val="22"/>
        </w:numPr>
        <w:rPr>
          <w:color w:val="70AD47" w:themeColor="accent6"/>
        </w:rPr>
      </w:pPr>
      <w:r>
        <w:rPr>
          <w:color w:val="70AD47" w:themeColor="accent6"/>
        </w:rPr>
        <w:t>Ranking</w:t>
      </w:r>
    </w:p>
    <w:p w14:paraId="7CBBB5EF" w14:textId="77777777" w:rsidR="0001719A" w:rsidRPr="00F515EF" w:rsidRDefault="0001719A" w:rsidP="0001719A">
      <w:pPr>
        <w:pStyle w:val="Luettelokappale"/>
        <w:numPr>
          <w:ilvl w:val="1"/>
          <w:numId w:val="22"/>
        </w:numPr>
        <w:rPr>
          <w:color w:val="70AD47" w:themeColor="accent6"/>
        </w:rPr>
      </w:pPr>
      <w:r>
        <w:rPr>
          <w:color w:val="70AD47" w:themeColor="accent6"/>
        </w:rPr>
        <w:t>Hankinnat tehdään ensisijaisesti siltä toimittajalta, joka on tehnyt parhaan tarjouksen puitejärjestelyä perustettaessa</w:t>
      </w:r>
    </w:p>
    <w:p w14:paraId="2149F78E" w14:textId="66EED43B" w:rsidR="0041425E" w:rsidRDefault="00F673AD" w:rsidP="00F673AD">
      <w:pPr>
        <w:pStyle w:val="Otsikko3"/>
      </w:pPr>
      <w:r>
        <w:t>Osa vahvistettujen ehtojen mukaisesti ilman kilpailuttamista ja osa mukana olevien toimittajien kesken kilpailuttamalla</w:t>
      </w:r>
      <w:r w:rsidR="0041425E">
        <w:t xml:space="preserve"> </w:t>
      </w:r>
    </w:p>
    <w:p w14:paraId="4B5CD180" w14:textId="029F1319" w:rsidR="008700A8" w:rsidRPr="008700A8" w:rsidRDefault="008700A8" w:rsidP="00F673AD">
      <w:pPr>
        <w:rPr>
          <w:i/>
        </w:rPr>
      </w:pPr>
      <w:r w:rsidRPr="00086408">
        <w:t xml:space="preserve">Jos hankintayksikkö on tehnyt puitejärjestelyn usean toimittajan kanssa, osa </w:t>
      </w:r>
      <w:r w:rsidR="00201B4F" w:rsidRPr="00086408">
        <w:t xml:space="preserve">puitejärjestelyyn perustuvista hankinnoista voidaan tehdä ilman kilpailuttamista valitsemalla toimittaja noudattamalla puitejärjestelyn ehtoja ja järjestelyyn perustuvien hankintojen </w:t>
      </w:r>
      <w:r w:rsidR="006243C0" w:rsidRPr="00086408">
        <w:t>tarjoajien valintaa määrittäviä puolueettomia ehtoja</w:t>
      </w:r>
      <w:r w:rsidR="00086408">
        <w:t xml:space="preserve"> ja</w:t>
      </w:r>
      <w:r w:rsidR="006243C0" w:rsidRPr="00086408">
        <w:t xml:space="preserve"> osa puitejärjestelyyn perustuvista hankinnoista voidaan tehdä kilpailuttamalla puitejärjestelyyn perustuvat hankinnat</w:t>
      </w:r>
      <w:r w:rsidR="00086408">
        <w:rPr>
          <w:i/>
        </w:rPr>
        <w:t>.</w:t>
      </w:r>
      <w:r w:rsidR="006243C0">
        <w:rPr>
          <w:i/>
        </w:rPr>
        <w:t xml:space="preserve"> Puitejärjestelyn tarjouspyynnössä on esitettävä perusteet, joiden mukaisesti ratkaistaan puitejärjestelyn sisäisten hankintojen tekemisen tapa.</w:t>
      </w:r>
      <w:r w:rsidR="00773311">
        <w:rPr>
          <w:i/>
        </w:rPr>
        <w:t xml:space="preserve"> (43 § mom. 5)</w:t>
      </w:r>
    </w:p>
    <w:p w14:paraId="7350D75D" w14:textId="434DBF92" w:rsidR="00F673AD" w:rsidRDefault="002360A1" w:rsidP="00F673AD">
      <w:r>
        <w:t xml:space="preserve">Ilman kilpailuttamista vahvistettujen ehtojen mukaan tehtävien hankintojen jakamiseen </w:t>
      </w:r>
      <w:r w:rsidR="00892A1A">
        <w:t>sovelletaan kohdassa 2.2.1</w:t>
      </w:r>
      <w:r>
        <w:t xml:space="preserve"> </w:t>
      </w:r>
      <w:r w:rsidR="00892A1A">
        <w:t>esitettyjä periaatteita</w:t>
      </w:r>
      <w:r>
        <w:t>.</w:t>
      </w:r>
      <w:r w:rsidR="000F5630">
        <w:t xml:space="preserve"> Kilpailutettaviin hankintoihin sovelletaan kohdassa 2.2.3 esitettyä.</w:t>
      </w:r>
    </w:p>
    <w:p w14:paraId="6BAFFC8E" w14:textId="7004289D" w:rsidR="00096B54" w:rsidRDefault="00096B54" w:rsidP="00EC59B5">
      <w:pPr>
        <w:pStyle w:val="Otsikko4"/>
      </w:pPr>
      <w:r>
        <w:lastRenderedPageBreak/>
        <w:t xml:space="preserve">Esimerkkejä </w:t>
      </w:r>
      <w:r w:rsidR="00BE299F">
        <w:t>puitejärjestelyyn perustuvien</w:t>
      </w:r>
      <w:r>
        <w:t xml:space="preserve"> hankintojen </w:t>
      </w:r>
      <w:r w:rsidR="0009588D">
        <w:t>jaottelusta</w:t>
      </w:r>
    </w:p>
    <w:p w14:paraId="0EA4387E" w14:textId="68E609F3" w:rsidR="00096B54" w:rsidRDefault="009D4E0D" w:rsidP="009D4E0D">
      <w:pPr>
        <w:pStyle w:val="Luettelokappale"/>
        <w:numPr>
          <w:ilvl w:val="0"/>
          <w:numId w:val="23"/>
        </w:numPr>
        <w:rPr>
          <w:color w:val="70AD47" w:themeColor="accent6"/>
        </w:rPr>
      </w:pPr>
      <w:r>
        <w:rPr>
          <w:color w:val="70AD47" w:themeColor="accent6"/>
        </w:rPr>
        <w:t xml:space="preserve">Ennakoidun arvon </w:t>
      </w:r>
      <w:r w:rsidR="008C1761">
        <w:rPr>
          <w:color w:val="70AD47" w:themeColor="accent6"/>
        </w:rPr>
        <w:t>perusteella jakaminen</w:t>
      </w:r>
    </w:p>
    <w:p w14:paraId="0CB723D3" w14:textId="04CC8A45" w:rsidR="008C1761" w:rsidRDefault="008C1761" w:rsidP="008C1761">
      <w:pPr>
        <w:pStyle w:val="Luettelokappale"/>
        <w:numPr>
          <w:ilvl w:val="1"/>
          <w:numId w:val="23"/>
        </w:numPr>
        <w:rPr>
          <w:color w:val="70AD47" w:themeColor="accent6"/>
        </w:rPr>
      </w:pPr>
      <w:r>
        <w:rPr>
          <w:color w:val="70AD47" w:themeColor="accent6"/>
        </w:rPr>
        <w:t>Asetetaan euromääräinen raja, jonka ylittävät hankinnat kilpailutetaan järjestelyssä mukana olevien toimittajien kesken</w:t>
      </w:r>
    </w:p>
    <w:p w14:paraId="6884047E" w14:textId="376C304E" w:rsidR="009D4E0D" w:rsidRDefault="009D4E0D" w:rsidP="009D4E0D">
      <w:pPr>
        <w:pStyle w:val="Luettelokappale"/>
        <w:numPr>
          <w:ilvl w:val="0"/>
          <w:numId w:val="23"/>
        </w:numPr>
        <w:rPr>
          <w:color w:val="70AD47" w:themeColor="accent6"/>
        </w:rPr>
      </w:pPr>
      <w:r>
        <w:rPr>
          <w:color w:val="70AD47" w:themeColor="accent6"/>
        </w:rPr>
        <w:t xml:space="preserve">Määrän perusteella jakaminen </w:t>
      </w:r>
      <w:r w:rsidRPr="009D4E0D">
        <w:rPr>
          <w:color w:val="5B9BD5" w:themeColor="accent1"/>
        </w:rPr>
        <w:t xml:space="preserve">(esim. </w:t>
      </w:r>
      <w:r w:rsidR="008C1761">
        <w:rPr>
          <w:color w:val="5B9BD5" w:themeColor="accent1"/>
        </w:rPr>
        <w:t>tietyn kokoluokan ylittävien kohteiden suunnittelutehtävät kilpailutetaan</w:t>
      </w:r>
      <w:r w:rsidRPr="009D4E0D">
        <w:rPr>
          <w:color w:val="5B9BD5" w:themeColor="accent1"/>
        </w:rPr>
        <w:t>)</w:t>
      </w:r>
    </w:p>
    <w:p w14:paraId="6161CFC3" w14:textId="0F5722C8" w:rsidR="009D4E0D" w:rsidRPr="005B7488" w:rsidRDefault="005B7488" w:rsidP="009D4E0D">
      <w:pPr>
        <w:pStyle w:val="Luettelokappale"/>
        <w:numPr>
          <w:ilvl w:val="0"/>
          <w:numId w:val="23"/>
        </w:numPr>
        <w:rPr>
          <w:color w:val="70AD47" w:themeColor="accent6"/>
        </w:rPr>
      </w:pPr>
      <w:r>
        <w:rPr>
          <w:color w:val="70AD47" w:themeColor="accent6"/>
        </w:rPr>
        <w:t>Tehtävän vaativuustaso</w:t>
      </w:r>
      <w:r w:rsidR="00C47DCE">
        <w:rPr>
          <w:color w:val="70AD47" w:themeColor="accent6"/>
        </w:rPr>
        <w:t xml:space="preserve"> tai palvelutaso</w:t>
      </w:r>
      <w:r>
        <w:rPr>
          <w:color w:val="70AD47" w:themeColor="accent6"/>
        </w:rPr>
        <w:t xml:space="preserve"> </w:t>
      </w:r>
      <w:r>
        <w:rPr>
          <w:color w:val="5B9BD5" w:themeColor="accent1"/>
        </w:rPr>
        <w:t>(esim.</w:t>
      </w:r>
      <w:r w:rsidR="008C1761">
        <w:rPr>
          <w:color w:val="5B9BD5" w:themeColor="accent1"/>
        </w:rPr>
        <w:t xml:space="preserve"> suunnittelutehtävissä voidaan käyttää kohteen suunnittelutehtävien vaativuusluokkia rajana kilpailuttamiselle)</w:t>
      </w:r>
    </w:p>
    <w:p w14:paraId="59F10C18" w14:textId="0F69DFDF" w:rsidR="00EE442B" w:rsidRDefault="00EE442B" w:rsidP="00EE442B">
      <w:pPr>
        <w:pStyle w:val="Otsikko3"/>
      </w:pPr>
      <w:r>
        <w:t>Mukana olevien toimittajien kesken kilpailuttamalla</w:t>
      </w:r>
    </w:p>
    <w:p w14:paraId="46E448E2" w14:textId="77777777" w:rsidR="0082155D" w:rsidRDefault="0092462F" w:rsidP="00EE442B">
      <w:pPr>
        <w:rPr>
          <w:i/>
        </w:rPr>
      </w:pPr>
      <w:r w:rsidRPr="00DB06DE">
        <w:rPr>
          <w:i/>
        </w:rPr>
        <w:t>Jos hankintayksikkö on tehnyt puitejärjestelyn usean toimittajan kanssa ja puitejärjestelyn kaikkia ehtoja ei ole vahvistettu, puitejärjestelyyn perustuvat hankinnat on tehtävä kilpailuttamalla puitejärjestelyyn valitut toimittajat noudattamalla puitejärjestelyä perustettaessa esitettyjä kokonaistaloudellisen edullisuuden perusteita, joita voidaan täsmentää, sekä muita ehtoja, jotka on ilmoitettu puitejärjestelyn tarjouspyynnössä.</w:t>
      </w:r>
      <w:r w:rsidR="00C113E9">
        <w:rPr>
          <w:i/>
        </w:rPr>
        <w:t xml:space="preserve"> (43 § mom. 3)</w:t>
      </w:r>
    </w:p>
    <w:p w14:paraId="54D790CD" w14:textId="1BA09DE3" w:rsidR="0082155D" w:rsidRPr="0082155D" w:rsidRDefault="0082155D" w:rsidP="00EE442B">
      <w:pPr>
        <w:rPr>
          <w:color w:val="70AD47" w:themeColor="accent6"/>
        </w:rPr>
      </w:pPr>
      <w:r>
        <w:rPr>
          <w:color w:val="70AD47" w:themeColor="accent6"/>
        </w:rPr>
        <w:t>Ehdot, joita puitejärjestelyn sisäisessä kilpailutuksessa voidaan täsmentää, tulee ilmoittaa ennalta hankintailmoituksessa</w:t>
      </w:r>
      <w:r w:rsidR="00625FFB">
        <w:rPr>
          <w:color w:val="70AD47" w:themeColor="accent6"/>
        </w:rPr>
        <w:t>, tarjouspyynnössä tai mahdollisessa neuvottelukutsussa</w:t>
      </w:r>
      <w:r w:rsidR="006979A2">
        <w:rPr>
          <w:color w:val="70AD47" w:themeColor="accent6"/>
        </w:rPr>
        <w:t xml:space="preserve"> kilpailutettaessa puitejärjestelyyn valittavia toimittajia</w:t>
      </w:r>
      <w:r w:rsidR="00625FFB">
        <w:rPr>
          <w:color w:val="70AD47" w:themeColor="accent6"/>
        </w:rPr>
        <w:t>.</w:t>
      </w:r>
      <w:r w:rsidR="006979A2">
        <w:rPr>
          <w:color w:val="70AD47" w:themeColor="accent6"/>
        </w:rPr>
        <w:t xml:space="preserve"> Ehtojen ei tarvitse olla </w:t>
      </w:r>
      <w:r w:rsidR="009711FD">
        <w:rPr>
          <w:color w:val="70AD47" w:themeColor="accent6"/>
        </w:rPr>
        <w:t>samoja kuin puitejärjestelyä kilpailutettaessa käytetyt valinta- ja vertailuperusteet.</w:t>
      </w:r>
      <w:r w:rsidR="00074B25">
        <w:rPr>
          <w:color w:val="70AD47" w:themeColor="accent6"/>
        </w:rPr>
        <w:t xml:space="preserve"> Avoimet ehdot voivat liittyä esimerkiksi hankinnan tapauskohtaiseen hinnoitteluun tai asiantuntijapalvelun toteuttaviin henkilöihin.</w:t>
      </w:r>
    </w:p>
    <w:p w14:paraId="3DEB5144" w14:textId="40B600DB" w:rsidR="0092462F" w:rsidRDefault="001148C0" w:rsidP="00EE442B">
      <w:pPr>
        <w:rPr>
          <w:color w:val="70AD47" w:themeColor="accent6"/>
        </w:rPr>
      </w:pPr>
      <w:r>
        <w:rPr>
          <w:color w:val="70AD47" w:themeColor="accent6"/>
        </w:rPr>
        <w:t>Kokonaistaloudellisen edullisuuden perusteiden osalta</w:t>
      </w:r>
      <w:r w:rsidR="00880923">
        <w:rPr>
          <w:color w:val="70AD47" w:themeColor="accent6"/>
        </w:rPr>
        <w:t xml:space="preserve"> tulee puitejärjestelyä perustettaessa esittää</w:t>
      </w:r>
      <w:r>
        <w:rPr>
          <w:color w:val="70AD47" w:themeColor="accent6"/>
        </w:rPr>
        <w:t xml:space="preserve"> kilpailutuksessa noudatettavat tarjousten vertailuperusteet sekä vertailuperusteiden painoarvot taikka painoarvojen vaihteluväli.</w:t>
      </w:r>
      <w:r w:rsidR="00FD7662">
        <w:rPr>
          <w:color w:val="70AD47" w:themeColor="accent6"/>
        </w:rPr>
        <w:t xml:space="preserve"> Vaihteluväli esittämällä painoarvoja on mahdollista täsmentää hankintakohtaisesti.</w:t>
      </w:r>
    </w:p>
    <w:p w14:paraId="5A521BBC" w14:textId="6FEEF025" w:rsidR="00C619A7" w:rsidRPr="00193452" w:rsidRDefault="007E49D0" w:rsidP="00C619A7">
      <w:pPr>
        <w:rPr>
          <w:i/>
          <w:color w:val="000000" w:themeColor="text1"/>
        </w:rPr>
      </w:pPr>
      <w:r>
        <w:rPr>
          <w:i/>
          <w:color w:val="000000" w:themeColor="text1"/>
        </w:rPr>
        <w:t>Hankintayksikön on puitejärjestelyyn perustuvien hankintojen kilpailuttamisessa pyydettävä kirjallisesti tarjous puitejärjestelyyn valitulta toimittajilta. Hankintayksikön on määrättävä tarjousaika, jonka on oltava riittävä ottaen huomioon hankinnan monimutkaisuus ja tarjousten tekemisen edellyttämä aika.</w:t>
      </w:r>
      <w:r w:rsidR="00422A90">
        <w:rPr>
          <w:i/>
          <w:color w:val="000000" w:themeColor="text1"/>
        </w:rPr>
        <w:t xml:space="preserve"> </w:t>
      </w:r>
      <w:r w:rsidR="00422A90">
        <w:rPr>
          <w:color w:val="000000" w:themeColor="text1"/>
        </w:rPr>
        <w:t>Vähimmäismääräaikaa ei ole yksilöity hankintalaissa.</w:t>
      </w:r>
      <w:r>
        <w:rPr>
          <w:i/>
          <w:color w:val="000000" w:themeColor="text1"/>
        </w:rPr>
        <w:t xml:space="preserve"> Tarjoukset on annettava kirjallisesti ja niiden sisältö on pidettävä luottamuksellisena tarjousajan päättymiseen saakka. </w:t>
      </w:r>
      <w:r w:rsidR="00133251">
        <w:rPr>
          <w:color w:val="000000" w:themeColor="text1"/>
        </w:rPr>
        <w:t xml:space="preserve">Paras tarjous valitaan noudattaen yksittäistä hankintaa koskevassa tarjouspyynnössä esitettyjä kokonaistaloudellisen edullisuuden perusteita. </w:t>
      </w:r>
      <w:r w:rsidR="00755D94">
        <w:rPr>
          <w:i/>
          <w:color w:val="000000" w:themeColor="text1"/>
        </w:rPr>
        <w:t>(43 § mom. 4)</w:t>
      </w:r>
    </w:p>
    <w:p w14:paraId="65AD12AC" w14:textId="10A19973" w:rsidR="000B1E28" w:rsidRDefault="000B1E28" w:rsidP="000B1E28">
      <w:pPr>
        <w:pStyle w:val="Otsikko2"/>
      </w:pPr>
      <w:r>
        <w:t>Hankintapäätös</w:t>
      </w:r>
      <w:r w:rsidR="00C619A7">
        <w:t xml:space="preserve"> puitejärjestelyyn perustuvasta hankinnasta</w:t>
      </w:r>
    </w:p>
    <w:p w14:paraId="7280B51E" w14:textId="31A916CE" w:rsidR="00972C41" w:rsidRDefault="00677B68" w:rsidP="00972C41">
      <w:pPr>
        <w:spacing w:after="0"/>
      </w:pPr>
      <w:r>
        <w:rPr>
          <w:i/>
        </w:rPr>
        <w:t>Hankintayksikön on tehtävä ehdokkaiden ja tarjoajien asemaan vaikuttavista ratkaisuista sekä tarjousmenettelyn ratkaisusta kirjallinen päätös, joka on perusteltava</w:t>
      </w:r>
      <w:r>
        <w:t xml:space="preserve"> </w:t>
      </w:r>
      <w:r>
        <w:rPr>
          <w:i/>
        </w:rPr>
        <w:t xml:space="preserve">(123 §). </w:t>
      </w:r>
      <w:r w:rsidR="002606CF">
        <w:t xml:space="preserve">Puitejärjestelyyn perustuvassa hankinnassa hankintayksikön ei tarvitse tehdä hankintapäätöstä, jos </w:t>
      </w:r>
    </w:p>
    <w:p w14:paraId="3551D6DB" w14:textId="77777777" w:rsidR="00972C41" w:rsidRDefault="002606CF" w:rsidP="00972C41">
      <w:pPr>
        <w:pStyle w:val="Luettelokappale"/>
        <w:numPr>
          <w:ilvl w:val="0"/>
          <w:numId w:val="24"/>
        </w:numPr>
      </w:pPr>
      <w:r>
        <w:t xml:space="preserve">hankinta tehdään puitejärjestelyssä vahvistettujen ehtojen mukaisesti ilman kilpailuttamista tai </w:t>
      </w:r>
    </w:p>
    <w:p w14:paraId="50FBB89B" w14:textId="1FAC6F9E" w:rsidR="002606CF" w:rsidRDefault="002606CF" w:rsidP="00972C41">
      <w:pPr>
        <w:pStyle w:val="Luettelokappale"/>
        <w:numPr>
          <w:ilvl w:val="0"/>
          <w:numId w:val="24"/>
        </w:numPr>
      </w:pPr>
      <w:r>
        <w:t xml:space="preserve">puitejärjestelyyn perustuvassa kilpailuttamisessa hankinnan arvo ei ylitä EU-kynnysarvoa. </w:t>
      </w:r>
    </w:p>
    <w:p w14:paraId="6F975EDF" w14:textId="77777777" w:rsidR="00C91D9E" w:rsidRDefault="00C91D9E" w:rsidP="00C91D9E">
      <w:r>
        <w:rPr>
          <w:i/>
        </w:rPr>
        <w:t>Hankintayksikön tekemä päätös perusteluineen sekä valitusosoitus ja oikaisuohje on annettava tiedoksi kirjallisesti niille, joita asia koskee (127 §).</w:t>
      </w:r>
      <w:r>
        <w:t xml:space="preserve"> Päätös annetaan tiedoksi käyttäen ehdokkaan tai tarjoajan hankintayksikölle ilmoittamaa sähköistä yhteystietoa. Päätöksestä ja siihen liittyvistä asiakirjoista tulee käydä ilmi seuraavat asiat:</w:t>
      </w:r>
    </w:p>
    <w:p w14:paraId="1D1F9111" w14:textId="77777777" w:rsidR="00C91D9E" w:rsidRDefault="00C91D9E" w:rsidP="00C91D9E">
      <w:pPr>
        <w:pStyle w:val="Luettelokappale"/>
        <w:numPr>
          <w:ilvl w:val="0"/>
          <w:numId w:val="6"/>
        </w:numPr>
        <w:spacing w:after="0" w:line="276" w:lineRule="auto"/>
      </w:pPr>
      <w:r>
        <w:lastRenderedPageBreak/>
        <w:t>Ratkaisuun olennaisesti vaikuttaneet seikat</w:t>
      </w:r>
    </w:p>
    <w:p w14:paraId="5F0CFCFC" w14:textId="77777777" w:rsidR="00C91D9E" w:rsidRDefault="00C91D9E" w:rsidP="00C91D9E">
      <w:pPr>
        <w:pStyle w:val="Luettelokappale"/>
        <w:numPr>
          <w:ilvl w:val="1"/>
          <w:numId w:val="6"/>
        </w:numPr>
        <w:spacing w:after="0" w:line="276" w:lineRule="auto"/>
      </w:pPr>
      <w:r>
        <w:t>Ehdokkaan, tarjoajan tai tarjouksen hylkäämisen perusteet</w:t>
      </w:r>
    </w:p>
    <w:p w14:paraId="10523826" w14:textId="77777777" w:rsidR="00C91D9E" w:rsidRDefault="00C91D9E" w:rsidP="00C91D9E">
      <w:pPr>
        <w:pStyle w:val="Luettelokappale"/>
        <w:numPr>
          <w:ilvl w:val="1"/>
          <w:numId w:val="6"/>
        </w:numPr>
        <w:spacing w:after="0" w:line="276" w:lineRule="auto"/>
      </w:pPr>
      <w:r>
        <w:t>Keskeiset perusteet, joilla hyväksyttyjen tarjousten vertailu on tehty eli tiedot vertailuperusteiden soveltamisesta</w:t>
      </w:r>
    </w:p>
    <w:p w14:paraId="3D40D329" w14:textId="77777777" w:rsidR="00C91D9E" w:rsidRPr="001E7BC6" w:rsidRDefault="00C91D9E" w:rsidP="00C91D9E">
      <w:pPr>
        <w:pStyle w:val="Luettelokappale"/>
        <w:numPr>
          <w:ilvl w:val="0"/>
          <w:numId w:val="6"/>
        </w:numPr>
        <w:spacing w:after="0" w:line="276" w:lineRule="auto"/>
      </w:pPr>
      <w:r>
        <w:t>Jos hankinnassa noudatetaan odotusaikaa, on käytävä ilmi minkä ajan kuluttua hankintasopimus voidaan tehdä</w:t>
      </w:r>
    </w:p>
    <w:p w14:paraId="24B63A0F" w14:textId="22701A7B" w:rsidR="00A21D02" w:rsidRPr="00A21D02" w:rsidRDefault="00C91D9E" w:rsidP="00A21D02">
      <w:pPr>
        <w:spacing w:before="240"/>
        <w:rPr>
          <w:color w:val="70AD47" w:themeColor="accent6"/>
        </w:rPr>
      </w:pPr>
      <w:r>
        <w:rPr>
          <w:color w:val="70AD47" w:themeColor="accent6"/>
        </w:rPr>
        <w:t>Tarjousvertailua koskevat perustelut tulee esittää sillä tarkkuudella, että tarjoajalle käy ilmi oman tarjouksen sijoittuminen suhteessa muihin. Vertailuperusteiden soveltamisesta saatu pistemäärä tulee perustella ja päätöksestä tulee ilmetä miten kutakin tarjousta on arvioitu kunkin vertailuperusteen osalta.</w:t>
      </w:r>
    </w:p>
    <w:p w14:paraId="1A034045" w14:textId="77777777" w:rsidR="0045492B" w:rsidRDefault="0045492B" w:rsidP="0045492B">
      <w:r>
        <w:t>Hankintaa koskevia päätöksiä on mahdollista tehdä ja antaa tiedoksi menettelyn aikana vaiheittain tai tehdä ja antaa tiedoksi vain yksi päätös menettelyn lopuksi.</w:t>
      </w:r>
    </w:p>
    <w:p w14:paraId="62CC6B0E" w14:textId="7ADDF932" w:rsidR="00D2300A" w:rsidRDefault="00D2300A" w:rsidP="00D2300A">
      <w:pPr>
        <w:pStyle w:val="Otsikko2"/>
      </w:pPr>
      <w:r>
        <w:t>Sopimus</w:t>
      </w:r>
    </w:p>
    <w:p w14:paraId="30ADF4DE" w14:textId="4ACF5619" w:rsidR="00D2300A" w:rsidRPr="00057465" w:rsidRDefault="00D2300A" w:rsidP="00D2300A">
      <w:pPr>
        <w:rPr>
          <w:i/>
        </w:rPr>
      </w:pPr>
      <w:r w:rsidRPr="00057465">
        <w:rPr>
          <w:i/>
        </w:rPr>
        <w:t>Hankintapäätöksen tekemisen jälkeen hankintayksikön on tehtävä hankintasopimus. Hankintasopimus syntyy erillisen kirjallisen sopimuksen tekemisellä. (12</w:t>
      </w:r>
      <w:r w:rsidR="00C91D9E" w:rsidRPr="00057465">
        <w:rPr>
          <w:i/>
        </w:rPr>
        <w:t>8</w:t>
      </w:r>
      <w:r w:rsidRPr="00057465">
        <w:rPr>
          <w:i/>
        </w:rPr>
        <w:t xml:space="preserve"> §)</w:t>
      </w:r>
    </w:p>
    <w:p w14:paraId="4FAE5C41" w14:textId="77777777" w:rsidR="00F42E47" w:rsidRDefault="00F62285" w:rsidP="000C3F96">
      <w:r>
        <w:t>Hankintayksikkö voi tehdä hankintasopimuksen sen jälkeen kun hankintapäätös on annettu tiedoksi</w:t>
      </w:r>
      <w:r w:rsidR="00D2300A">
        <w:t>. Jos hankinnassa noudatetaan odotusaikaa, ei hankintasopimusta voi tehdä ennen odotusajan päättymistä. Mikäli asia on saatettu odotusaikana markkinaoikeuden käsittelyyn, ei hankintasopimusta saa tehdä odotusajan päättymisen jälkeen.</w:t>
      </w:r>
      <w:r w:rsidR="000C3F96">
        <w:t xml:space="preserve"> </w:t>
      </w:r>
    </w:p>
    <w:p w14:paraId="71D61E25" w14:textId="6F16009A" w:rsidR="000C3F96" w:rsidRDefault="000C3F96" w:rsidP="000C3F96">
      <w:r>
        <w:t>Jos puitejärjestelyyn perustuvan hankinnan ennakoitu arvo ylittää EU-kynnysarvon, voidaan noudattaa seuraavia odotusaikoja:</w:t>
      </w:r>
    </w:p>
    <w:p w14:paraId="3E4F589E" w14:textId="24693364" w:rsidR="000C3F96" w:rsidRDefault="000C3F96" w:rsidP="000C3F96">
      <w:pPr>
        <w:pStyle w:val="Luettelokappale"/>
        <w:numPr>
          <w:ilvl w:val="0"/>
          <w:numId w:val="18"/>
        </w:numPr>
      </w:pPr>
      <w:r>
        <w:t>10 päivää (tällöin muutoksenhakuaika on 14 päivää) (12</w:t>
      </w:r>
      <w:r w:rsidR="001F16C0">
        <w:t>9</w:t>
      </w:r>
      <w:r>
        <w:t xml:space="preserve"> § &amp; 14</w:t>
      </w:r>
      <w:r w:rsidR="003820FA">
        <w:t>7</w:t>
      </w:r>
      <w:r>
        <w:t xml:space="preserve"> §)</w:t>
      </w:r>
    </w:p>
    <w:p w14:paraId="15A50725" w14:textId="7C84281B" w:rsidR="00C57DA2" w:rsidRDefault="000C3F96" w:rsidP="00D2300A">
      <w:pPr>
        <w:pStyle w:val="Luettelokappale"/>
        <w:numPr>
          <w:ilvl w:val="0"/>
          <w:numId w:val="18"/>
        </w:numPr>
      </w:pPr>
      <w:r>
        <w:t>0 päivää (tällöin muu</w:t>
      </w:r>
      <w:r w:rsidR="001F16C0">
        <w:t>toksenhakuaika on 30 päivää) (130</w:t>
      </w:r>
      <w:r>
        <w:t xml:space="preserve"> § &amp; 14</w:t>
      </w:r>
      <w:r w:rsidR="003820FA">
        <w:t>7</w:t>
      </w:r>
      <w:r>
        <w:t xml:space="preserve"> §)</w:t>
      </w:r>
    </w:p>
    <w:p w14:paraId="790441A2" w14:textId="15E11EF5" w:rsidR="00C57DA2" w:rsidRDefault="000C3F96" w:rsidP="00F62285">
      <w:r>
        <w:t>EU-kynnysarvon alittaviin puitejärjestelyyn perustuviin hankin</w:t>
      </w:r>
      <w:r w:rsidR="00C57DA2">
        <w:t>toihin ei noudateta odotusaikaa</w:t>
      </w:r>
      <w:r w:rsidR="00F62285">
        <w:t>.</w:t>
      </w:r>
    </w:p>
    <w:p w14:paraId="1C97AC50" w14:textId="2DE12C24" w:rsidR="00D2300A" w:rsidRDefault="000C3F96" w:rsidP="00C57DA2">
      <w:r>
        <w:t>Odotusajan katsotaan alkavan siitä päivästä, jona ehdokkaan tai tarjoajan katsotaan saaneen päätöksen ja tiedon valitusoikeudesta tiedoksi.</w:t>
      </w:r>
      <w:r w:rsidR="002A2BDA" w:rsidRPr="002A2BDA">
        <w:t xml:space="preserve"> </w:t>
      </w:r>
      <w:r w:rsidR="002A2BDA" w:rsidRPr="007E07FE">
        <w:t>Tällaisena ajankohtana pidetään viestin lähettämispäivää käytettäessä sähköisiä viestintävälineitä.</w:t>
      </w:r>
    </w:p>
    <w:p w14:paraId="41DE09A3" w14:textId="77777777" w:rsidR="00FE1805" w:rsidRDefault="00FE1805" w:rsidP="00FE1805">
      <w:pPr>
        <w:rPr>
          <w:color w:val="5B9BD5" w:themeColor="accent1"/>
        </w:rPr>
      </w:pPr>
      <w:r w:rsidRPr="00D01BFC">
        <w:rPr>
          <w:color w:val="5B9BD5" w:themeColor="accent1"/>
        </w:rPr>
        <w:t xml:space="preserve">Laki ei velvoita, mutta joissakin tilanteissa voidaan pitää </w:t>
      </w:r>
      <w:r>
        <w:rPr>
          <w:color w:val="5B9BD5" w:themeColor="accent1"/>
        </w:rPr>
        <w:t xml:space="preserve">ennen </w:t>
      </w:r>
      <w:r w:rsidRPr="00D01BFC">
        <w:rPr>
          <w:color w:val="5B9BD5" w:themeColor="accent1"/>
        </w:rPr>
        <w:t xml:space="preserve">sopimuksen tekemistä sopimuskatselmus/allekirjoitustilaisuus, jossa sopijapuolet käyvät läpi sopimusasiakirjat ja varmistavat yhteisen käsityksen tehtävästä ja sen ehdoista sekä sopivat toimeksiannon käytännön järjestelyistä. Kilpailutusehtojen muuttaminen ei ole sallittua sopimuskatselmuksessa. </w:t>
      </w:r>
    </w:p>
    <w:p w14:paraId="4549756D" w14:textId="6DD1A0C2" w:rsidR="00660F9A" w:rsidRDefault="00660F9A" w:rsidP="00660F9A">
      <w:pPr>
        <w:pStyle w:val="Otsikko2"/>
      </w:pPr>
      <w:r>
        <w:t>Hankintaoikaisu ja muutoksenhaku</w:t>
      </w:r>
    </w:p>
    <w:p w14:paraId="2DAA0013" w14:textId="7FAD4B26" w:rsidR="00660F9A" w:rsidRDefault="00660F9A" w:rsidP="00660F9A">
      <w:pPr>
        <w:pStyle w:val="Otsikko3"/>
      </w:pPr>
      <w:r>
        <w:t>Hankintaoikaisu</w:t>
      </w:r>
    </w:p>
    <w:p w14:paraId="6B26BFCE" w14:textId="77777777" w:rsidR="00660F9A" w:rsidRDefault="00660F9A" w:rsidP="00660F9A">
      <w:r>
        <w:t>Hankintaoikaisu on toimenpide, jossa hankintayksikkö itse poistaa virheellisen päätöksensä tai peruuttaa muun hankintamenettelyssä tehdyn ratkaisun, jolla on oikeudellisia vaikutuksia ehdokkaiden tai tarjoajien asemaan ja ratkaisee asian uudelleen. Hankintayksikkö voi ottaa hankintaoikaisun käsiteltäväkseen omasta aloitteestaan tai asianosaisen vaatimuksesta.</w:t>
      </w:r>
    </w:p>
    <w:p w14:paraId="48993E24" w14:textId="77777777" w:rsidR="00660F9A" w:rsidRDefault="00660F9A" w:rsidP="00660F9A">
      <w:r>
        <w:lastRenderedPageBreak/>
        <w:t>Hankintayksikkö voi tehdä hankintaoikaisun ilman asianomaisten suostumusta edellyttäen, että päätös tai muu hankintamenettelyssä tehty asiaratkaisu perustuu lain soveltamisessa tapahtuneeseen virheeseen tai jos asiaan on tullut sellaista uutta tietoa, joka voi vaikuttaa päätökseen, ratkaisuun tai hankintasopimuksen tekemisen edellytyksiin.</w:t>
      </w:r>
    </w:p>
    <w:p w14:paraId="3628DEF3" w14:textId="0D162649" w:rsidR="00660F9A" w:rsidRDefault="00660F9A" w:rsidP="00660F9A">
      <w:r>
        <w:t>Hankintaoikaisun vireilletulosta on ilmoitettava välittömästi niille, joita asia koskee. Asianosaisen on esitettävä vaatimus hankintaoikaisun tekemiseen 14 päivän kuluessa päätöksen tai muun ratkaisun tiedoksisaamisesta. Hankintayksiköllä vastaava aika on 90 päivää päätöksen tai muun ratkaisun tekemisestä. Valitus markkinaoikeuteen ei estä hankintaoikaisun vaatimista, käsittelyä tai tekemistä.</w:t>
      </w:r>
    </w:p>
    <w:p w14:paraId="74CC2E3F" w14:textId="539FC686" w:rsidR="006357D3" w:rsidRDefault="006357D3" w:rsidP="006357D3">
      <w:pPr>
        <w:pStyle w:val="Otsikko3"/>
      </w:pPr>
      <w:r>
        <w:t>Muutoksenhaku</w:t>
      </w:r>
    </w:p>
    <w:p w14:paraId="460F4A3C" w14:textId="1DF216A9" w:rsidR="006357D3" w:rsidRPr="006357D3" w:rsidRDefault="006357D3" w:rsidP="006357D3">
      <w:r>
        <w:t xml:space="preserve">Ehdokkaan tai tarjoajan asemaan vaikuttavasta päätöksestä voi se, jota asia koskee, saattaa asian markkinaoikeuden käsiteltäväksi valituksella </w:t>
      </w:r>
      <w:r w:rsidRPr="00900141">
        <w:rPr>
          <w:color w:val="ED7D31" w:themeColor="accent2"/>
        </w:rPr>
        <w:t>(muutoksenhaku)</w:t>
      </w:r>
      <w:r>
        <w:t>. Pääsääntöisesti muutoksenhaku tulee tehdä 14 päivän kuluessa siitä, kun ehdokas tai tarjoaja on saanut tiedon hankintaa koskevasta päätöksestä valitusosoituksineen. Jos hankinta on sellainen, että siinä on noudatettava odotusaikaa, hankintayksikkö ei saa tehdä hankintasopimusta, mikäli asia on saatettu markkinaoikeuden käsiteltäväksi.</w:t>
      </w:r>
    </w:p>
    <w:p w14:paraId="5FCF2EC8" w14:textId="03339D77" w:rsidR="00C96958" w:rsidRDefault="00C96958" w:rsidP="00C96958">
      <w:pPr>
        <w:pStyle w:val="Otsikko2"/>
      </w:pPr>
      <w:r>
        <w:t>Jälki-ilmoitus</w:t>
      </w:r>
    </w:p>
    <w:p w14:paraId="29A43075" w14:textId="7C1EF930" w:rsidR="00C176DA" w:rsidRPr="00F43833" w:rsidRDefault="00C96958" w:rsidP="00C176DA">
      <w:r w:rsidRPr="00CC1514">
        <w:rPr>
          <w:i/>
        </w:rPr>
        <w:t>Jälki-ilmoitusvelvoite ei koske puitejärjestelyn perusteella tehtäviä yksittäisiä hankintasopimuksia.</w:t>
      </w:r>
      <w:r w:rsidR="00F43833">
        <w:rPr>
          <w:i/>
        </w:rPr>
        <w:t xml:space="preserve"> </w:t>
      </w:r>
      <w:r w:rsidR="00F43833">
        <w:t>Jälki-ilmoitus kuuluu tehdä vain ennakoidulta arvoltaan EU-kynnysarvon ylittävän puitejärjestelyn perustamisesta.</w:t>
      </w:r>
      <w:r w:rsidR="00792A12" w:rsidRPr="00792A12">
        <w:rPr>
          <w:i/>
        </w:rPr>
        <w:t xml:space="preserve"> </w:t>
      </w:r>
      <w:r w:rsidR="00F42E47">
        <w:t>(58 § mom. 5</w:t>
      </w:r>
      <w:r w:rsidR="00792A12" w:rsidRPr="0027293A">
        <w:t>)</w:t>
      </w:r>
    </w:p>
    <w:sectPr w:rsidR="00C176DA" w:rsidRPr="00F438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6090"/>
    <w:multiLevelType w:val="hybridMultilevel"/>
    <w:tmpl w:val="935482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13E610B"/>
    <w:multiLevelType w:val="hybridMultilevel"/>
    <w:tmpl w:val="4368826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2BF0D08"/>
    <w:multiLevelType w:val="hybridMultilevel"/>
    <w:tmpl w:val="1E7AB1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30F16A8"/>
    <w:multiLevelType w:val="hybridMultilevel"/>
    <w:tmpl w:val="CEC4C72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6AA463A"/>
    <w:multiLevelType w:val="hybridMultilevel"/>
    <w:tmpl w:val="E10629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2C11F7A"/>
    <w:multiLevelType w:val="hybridMultilevel"/>
    <w:tmpl w:val="905A52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4AF361F"/>
    <w:multiLevelType w:val="hybridMultilevel"/>
    <w:tmpl w:val="F07A1E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920655B"/>
    <w:multiLevelType w:val="hybridMultilevel"/>
    <w:tmpl w:val="38F0C8B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B7B5158"/>
    <w:multiLevelType w:val="hybridMultilevel"/>
    <w:tmpl w:val="A3D475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BCA2267"/>
    <w:multiLevelType w:val="hybridMultilevel"/>
    <w:tmpl w:val="FB48AB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5A0709E"/>
    <w:multiLevelType w:val="hybridMultilevel"/>
    <w:tmpl w:val="62D627D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6B20B7F"/>
    <w:multiLevelType w:val="hybridMultilevel"/>
    <w:tmpl w:val="878A34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EC95E9E"/>
    <w:multiLevelType w:val="hybridMultilevel"/>
    <w:tmpl w:val="30F23B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31A00B7"/>
    <w:multiLevelType w:val="hybridMultilevel"/>
    <w:tmpl w:val="56BCDD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4110ED3"/>
    <w:multiLevelType w:val="hybridMultilevel"/>
    <w:tmpl w:val="D1A081C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5760525"/>
    <w:multiLevelType w:val="hybridMultilevel"/>
    <w:tmpl w:val="1994AA5E"/>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49CF533A"/>
    <w:multiLevelType w:val="hybridMultilevel"/>
    <w:tmpl w:val="199CDB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5125BC6"/>
    <w:multiLevelType w:val="hybridMultilevel"/>
    <w:tmpl w:val="ED660F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90B16FA"/>
    <w:multiLevelType w:val="hybridMultilevel"/>
    <w:tmpl w:val="3B2C7AB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A2C70A6"/>
    <w:multiLevelType w:val="hybridMultilevel"/>
    <w:tmpl w:val="A0EADC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0E3145F"/>
    <w:multiLevelType w:val="hybridMultilevel"/>
    <w:tmpl w:val="88FA8A1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1A048BE"/>
    <w:multiLevelType w:val="hybridMultilevel"/>
    <w:tmpl w:val="C55010E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73EA3465"/>
    <w:multiLevelType w:val="hybridMultilevel"/>
    <w:tmpl w:val="9124813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40D6563"/>
    <w:multiLevelType w:val="hybridMultilevel"/>
    <w:tmpl w:val="9964005C"/>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6E2049A"/>
    <w:multiLevelType w:val="multilevel"/>
    <w:tmpl w:val="A5BE0E9C"/>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25" w15:restartNumberingAfterBreak="0">
    <w:nsid w:val="7825044B"/>
    <w:multiLevelType w:val="hybridMultilevel"/>
    <w:tmpl w:val="A6269F34"/>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4"/>
  </w:num>
  <w:num w:numId="2">
    <w:abstractNumId w:val="15"/>
  </w:num>
  <w:num w:numId="3">
    <w:abstractNumId w:val="7"/>
  </w:num>
  <w:num w:numId="4">
    <w:abstractNumId w:val="23"/>
  </w:num>
  <w:num w:numId="5">
    <w:abstractNumId w:val="25"/>
  </w:num>
  <w:num w:numId="6">
    <w:abstractNumId w:val="18"/>
  </w:num>
  <w:num w:numId="7">
    <w:abstractNumId w:val="8"/>
  </w:num>
  <w:num w:numId="8">
    <w:abstractNumId w:val="14"/>
  </w:num>
  <w:num w:numId="9">
    <w:abstractNumId w:val="11"/>
  </w:num>
  <w:num w:numId="10">
    <w:abstractNumId w:val="16"/>
  </w:num>
  <w:num w:numId="11">
    <w:abstractNumId w:val="5"/>
  </w:num>
  <w:num w:numId="12">
    <w:abstractNumId w:val="1"/>
  </w:num>
  <w:num w:numId="13">
    <w:abstractNumId w:val="6"/>
  </w:num>
  <w:num w:numId="14">
    <w:abstractNumId w:val="9"/>
  </w:num>
  <w:num w:numId="15">
    <w:abstractNumId w:val="12"/>
  </w:num>
  <w:num w:numId="16">
    <w:abstractNumId w:val="21"/>
  </w:num>
  <w:num w:numId="17">
    <w:abstractNumId w:val="17"/>
  </w:num>
  <w:num w:numId="18">
    <w:abstractNumId w:val="2"/>
  </w:num>
  <w:num w:numId="19">
    <w:abstractNumId w:val="13"/>
  </w:num>
  <w:num w:numId="20">
    <w:abstractNumId w:val="3"/>
  </w:num>
  <w:num w:numId="21">
    <w:abstractNumId w:val="4"/>
  </w:num>
  <w:num w:numId="22">
    <w:abstractNumId w:val="20"/>
  </w:num>
  <w:num w:numId="23">
    <w:abstractNumId w:val="10"/>
  </w:num>
  <w:num w:numId="24">
    <w:abstractNumId w:val="0"/>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82"/>
    <w:rsid w:val="00000283"/>
    <w:rsid w:val="00000C28"/>
    <w:rsid w:val="000015A0"/>
    <w:rsid w:val="00002B90"/>
    <w:rsid w:val="00013ACB"/>
    <w:rsid w:val="0001719A"/>
    <w:rsid w:val="0001767F"/>
    <w:rsid w:val="00022F11"/>
    <w:rsid w:val="00023424"/>
    <w:rsid w:val="00025356"/>
    <w:rsid w:val="000277C8"/>
    <w:rsid w:val="000333E8"/>
    <w:rsid w:val="00034A56"/>
    <w:rsid w:val="0003595D"/>
    <w:rsid w:val="00036978"/>
    <w:rsid w:val="00050693"/>
    <w:rsid w:val="00051804"/>
    <w:rsid w:val="00056850"/>
    <w:rsid w:val="0005706E"/>
    <w:rsid w:val="00057465"/>
    <w:rsid w:val="00062569"/>
    <w:rsid w:val="00064121"/>
    <w:rsid w:val="00070401"/>
    <w:rsid w:val="000733CA"/>
    <w:rsid w:val="000746AD"/>
    <w:rsid w:val="00074B25"/>
    <w:rsid w:val="000773F7"/>
    <w:rsid w:val="000825E8"/>
    <w:rsid w:val="0008274B"/>
    <w:rsid w:val="00085C92"/>
    <w:rsid w:val="00086408"/>
    <w:rsid w:val="00087FCC"/>
    <w:rsid w:val="00090D4C"/>
    <w:rsid w:val="00094670"/>
    <w:rsid w:val="0009588D"/>
    <w:rsid w:val="00096B54"/>
    <w:rsid w:val="0009750D"/>
    <w:rsid w:val="000A41A6"/>
    <w:rsid w:val="000B12ED"/>
    <w:rsid w:val="000B196E"/>
    <w:rsid w:val="000B1E28"/>
    <w:rsid w:val="000B214B"/>
    <w:rsid w:val="000C0CE9"/>
    <w:rsid w:val="000C33AF"/>
    <w:rsid w:val="000C3F96"/>
    <w:rsid w:val="000D12A0"/>
    <w:rsid w:val="000D3091"/>
    <w:rsid w:val="000D4DBF"/>
    <w:rsid w:val="000D754B"/>
    <w:rsid w:val="000D7DE3"/>
    <w:rsid w:val="000E195F"/>
    <w:rsid w:val="000E2CE4"/>
    <w:rsid w:val="000E6F21"/>
    <w:rsid w:val="000F5630"/>
    <w:rsid w:val="00101FDC"/>
    <w:rsid w:val="001142DD"/>
    <w:rsid w:val="001148C0"/>
    <w:rsid w:val="0011560A"/>
    <w:rsid w:val="00116F60"/>
    <w:rsid w:val="00117819"/>
    <w:rsid w:val="00120224"/>
    <w:rsid w:val="00120428"/>
    <w:rsid w:val="00120559"/>
    <w:rsid w:val="00122F55"/>
    <w:rsid w:val="00133251"/>
    <w:rsid w:val="0013699D"/>
    <w:rsid w:val="00137A19"/>
    <w:rsid w:val="00141F4F"/>
    <w:rsid w:val="00142B54"/>
    <w:rsid w:val="00145244"/>
    <w:rsid w:val="00146858"/>
    <w:rsid w:val="00153F53"/>
    <w:rsid w:val="0015458F"/>
    <w:rsid w:val="001562DA"/>
    <w:rsid w:val="0015735E"/>
    <w:rsid w:val="00161104"/>
    <w:rsid w:val="00171403"/>
    <w:rsid w:val="0017206B"/>
    <w:rsid w:val="001805FD"/>
    <w:rsid w:val="001855C9"/>
    <w:rsid w:val="001902EC"/>
    <w:rsid w:val="00191B0E"/>
    <w:rsid w:val="00191BB7"/>
    <w:rsid w:val="00193452"/>
    <w:rsid w:val="00193CC7"/>
    <w:rsid w:val="00193D86"/>
    <w:rsid w:val="001A2455"/>
    <w:rsid w:val="001B34D1"/>
    <w:rsid w:val="001C4466"/>
    <w:rsid w:val="001C72C1"/>
    <w:rsid w:val="001D645E"/>
    <w:rsid w:val="001D6D80"/>
    <w:rsid w:val="001E3472"/>
    <w:rsid w:val="001E57E6"/>
    <w:rsid w:val="001F075F"/>
    <w:rsid w:val="001F16C0"/>
    <w:rsid w:val="001F3822"/>
    <w:rsid w:val="001F4DB8"/>
    <w:rsid w:val="001F5764"/>
    <w:rsid w:val="001F6BDB"/>
    <w:rsid w:val="001F7DD1"/>
    <w:rsid w:val="00201B4F"/>
    <w:rsid w:val="00206D2C"/>
    <w:rsid w:val="002072BE"/>
    <w:rsid w:val="00207DE9"/>
    <w:rsid w:val="00212F3C"/>
    <w:rsid w:val="002158FA"/>
    <w:rsid w:val="0022375A"/>
    <w:rsid w:val="00223AA1"/>
    <w:rsid w:val="00230510"/>
    <w:rsid w:val="00232F46"/>
    <w:rsid w:val="002360A1"/>
    <w:rsid w:val="00236E51"/>
    <w:rsid w:val="002406AC"/>
    <w:rsid w:val="00246489"/>
    <w:rsid w:val="00253134"/>
    <w:rsid w:val="002541C6"/>
    <w:rsid w:val="00254C32"/>
    <w:rsid w:val="002606CF"/>
    <w:rsid w:val="00267FE6"/>
    <w:rsid w:val="0027095C"/>
    <w:rsid w:val="0027293A"/>
    <w:rsid w:val="00276B5A"/>
    <w:rsid w:val="00294862"/>
    <w:rsid w:val="00294FF7"/>
    <w:rsid w:val="0029544A"/>
    <w:rsid w:val="002A2BDA"/>
    <w:rsid w:val="002A4D94"/>
    <w:rsid w:val="002A5D18"/>
    <w:rsid w:val="002A616D"/>
    <w:rsid w:val="002B0526"/>
    <w:rsid w:val="002B4139"/>
    <w:rsid w:val="002C44D5"/>
    <w:rsid w:val="002C4FBF"/>
    <w:rsid w:val="002C7962"/>
    <w:rsid w:val="002D7A90"/>
    <w:rsid w:val="002E0EBB"/>
    <w:rsid w:val="002E7AC5"/>
    <w:rsid w:val="002E7F51"/>
    <w:rsid w:val="0030578F"/>
    <w:rsid w:val="00306C99"/>
    <w:rsid w:val="00313E54"/>
    <w:rsid w:val="00317529"/>
    <w:rsid w:val="0032072F"/>
    <w:rsid w:val="00326322"/>
    <w:rsid w:val="00331612"/>
    <w:rsid w:val="00342A91"/>
    <w:rsid w:val="003438E3"/>
    <w:rsid w:val="003441D4"/>
    <w:rsid w:val="00351FA2"/>
    <w:rsid w:val="00360CE4"/>
    <w:rsid w:val="00363EF5"/>
    <w:rsid w:val="00365041"/>
    <w:rsid w:val="003669F5"/>
    <w:rsid w:val="00371D55"/>
    <w:rsid w:val="0037417D"/>
    <w:rsid w:val="00375B0B"/>
    <w:rsid w:val="00375BA5"/>
    <w:rsid w:val="00377C0E"/>
    <w:rsid w:val="0038075C"/>
    <w:rsid w:val="003820FA"/>
    <w:rsid w:val="00385451"/>
    <w:rsid w:val="0038667B"/>
    <w:rsid w:val="00397B2D"/>
    <w:rsid w:val="003A1E18"/>
    <w:rsid w:val="003A20F3"/>
    <w:rsid w:val="003A41EF"/>
    <w:rsid w:val="003B0442"/>
    <w:rsid w:val="003B088C"/>
    <w:rsid w:val="003B42B9"/>
    <w:rsid w:val="003B5851"/>
    <w:rsid w:val="003B60DF"/>
    <w:rsid w:val="003C35FB"/>
    <w:rsid w:val="003D0A90"/>
    <w:rsid w:val="003D7D0B"/>
    <w:rsid w:val="003E2696"/>
    <w:rsid w:val="003E7DBE"/>
    <w:rsid w:val="003F1B4C"/>
    <w:rsid w:val="003F5043"/>
    <w:rsid w:val="003F5C03"/>
    <w:rsid w:val="003F7FBF"/>
    <w:rsid w:val="00403048"/>
    <w:rsid w:val="0041425E"/>
    <w:rsid w:val="00416B0B"/>
    <w:rsid w:val="0041709A"/>
    <w:rsid w:val="0041744B"/>
    <w:rsid w:val="00422A90"/>
    <w:rsid w:val="00423331"/>
    <w:rsid w:val="00430359"/>
    <w:rsid w:val="0043133B"/>
    <w:rsid w:val="004314EA"/>
    <w:rsid w:val="00441767"/>
    <w:rsid w:val="004518F2"/>
    <w:rsid w:val="0045492B"/>
    <w:rsid w:val="00463B0D"/>
    <w:rsid w:val="00464793"/>
    <w:rsid w:val="0047343E"/>
    <w:rsid w:val="00475FFD"/>
    <w:rsid w:val="004803BC"/>
    <w:rsid w:val="004902A3"/>
    <w:rsid w:val="00490443"/>
    <w:rsid w:val="00493042"/>
    <w:rsid w:val="004A4D6A"/>
    <w:rsid w:val="004B2823"/>
    <w:rsid w:val="004B570D"/>
    <w:rsid w:val="004C14C3"/>
    <w:rsid w:val="004C2589"/>
    <w:rsid w:val="004C5226"/>
    <w:rsid w:val="004D128D"/>
    <w:rsid w:val="004D77C2"/>
    <w:rsid w:val="004E0DA9"/>
    <w:rsid w:val="004E127A"/>
    <w:rsid w:val="004E1DA3"/>
    <w:rsid w:val="004E68BB"/>
    <w:rsid w:val="004F3FFE"/>
    <w:rsid w:val="00501694"/>
    <w:rsid w:val="00515D6A"/>
    <w:rsid w:val="005169CF"/>
    <w:rsid w:val="0052357C"/>
    <w:rsid w:val="0052522E"/>
    <w:rsid w:val="00532E38"/>
    <w:rsid w:val="00537795"/>
    <w:rsid w:val="0056056C"/>
    <w:rsid w:val="00570CD5"/>
    <w:rsid w:val="0057116C"/>
    <w:rsid w:val="005718F4"/>
    <w:rsid w:val="00571C61"/>
    <w:rsid w:val="00574242"/>
    <w:rsid w:val="0057514C"/>
    <w:rsid w:val="00577DB6"/>
    <w:rsid w:val="0058129B"/>
    <w:rsid w:val="005813A7"/>
    <w:rsid w:val="00582FD9"/>
    <w:rsid w:val="005859A0"/>
    <w:rsid w:val="00585C91"/>
    <w:rsid w:val="00596F0C"/>
    <w:rsid w:val="005A14D9"/>
    <w:rsid w:val="005A4596"/>
    <w:rsid w:val="005A639E"/>
    <w:rsid w:val="005A75DE"/>
    <w:rsid w:val="005B4899"/>
    <w:rsid w:val="005B7488"/>
    <w:rsid w:val="005C0D93"/>
    <w:rsid w:val="005D1230"/>
    <w:rsid w:val="005D1E97"/>
    <w:rsid w:val="005D3581"/>
    <w:rsid w:val="005D6934"/>
    <w:rsid w:val="005E1DCA"/>
    <w:rsid w:val="005E40C1"/>
    <w:rsid w:val="005F7930"/>
    <w:rsid w:val="00601302"/>
    <w:rsid w:val="00604005"/>
    <w:rsid w:val="00605319"/>
    <w:rsid w:val="00605660"/>
    <w:rsid w:val="00605E5B"/>
    <w:rsid w:val="006107E4"/>
    <w:rsid w:val="00610C3B"/>
    <w:rsid w:val="0061331D"/>
    <w:rsid w:val="00617ADE"/>
    <w:rsid w:val="00620EBF"/>
    <w:rsid w:val="006243C0"/>
    <w:rsid w:val="00625FFB"/>
    <w:rsid w:val="0062685D"/>
    <w:rsid w:val="0063039E"/>
    <w:rsid w:val="006357D3"/>
    <w:rsid w:val="00640DA3"/>
    <w:rsid w:val="00641DAC"/>
    <w:rsid w:val="006429AE"/>
    <w:rsid w:val="00651715"/>
    <w:rsid w:val="0065196D"/>
    <w:rsid w:val="00660F9A"/>
    <w:rsid w:val="00664446"/>
    <w:rsid w:val="00665CB6"/>
    <w:rsid w:val="00671B8F"/>
    <w:rsid w:val="00673BC5"/>
    <w:rsid w:val="00677B68"/>
    <w:rsid w:val="0068121C"/>
    <w:rsid w:val="00682949"/>
    <w:rsid w:val="006834FF"/>
    <w:rsid w:val="00684821"/>
    <w:rsid w:val="00685929"/>
    <w:rsid w:val="00690021"/>
    <w:rsid w:val="006979A2"/>
    <w:rsid w:val="006A3E2C"/>
    <w:rsid w:val="006A66EB"/>
    <w:rsid w:val="006B2F3A"/>
    <w:rsid w:val="006C323C"/>
    <w:rsid w:val="006C3631"/>
    <w:rsid w:val="006C68A4"/>
    <w:rsid w:val="006D0158"/>
    <w:rsid w:val="006D364D"/>
    <w:rsid w:val="006D38C9"/>
    <w:rsid w:val="006E063E"/>
    <w:rsid w:val="006E49EE"/>
    <w:rsid w:val="006F0967"/>
    <w:rsid w:val="007034D4"/>
    <w:rsid w:val="007110EE"/>
    <w:rsid w:val="00713386"/>
    <w:rsid w:val="007148C0"/>
    <w:rsid w:val="007231E5"/>
    <w:rsid w:val="00724F0D"/>
    <w:rsid w:val="007252CD"/>
    <w:rsid w:val="00726F78"/>
    <w:rsid w:val="007305B5"/>
    <w:rsid w:val="00736CD1"/>
    <w:rsid w:val="0074010D"/>
    <w:rsid w:val="00741DCC"/>
    <w:rsid w:val="00755D94"/>
    <w:rsid w:val="00755E81"/>
    <w:rsid w:val="0075618A"/>
    <w:rsid w:val="00760CBD"/>
    <w:rsid w:val="00760D8D"/>
    <w:rsid w:val="00766A52"/>
    <w:rsid w:val="0077187D"/>
    <w:rsid w:val="00771D2E"/>
    <w:rsid w:val="00773311"/>
    <w:rsid w:val="00783475"/>
    <w:rsid w:val="00784AC3"/>
    <w:rsid w:val="007874FE"/>
    <w:rsid w:val="00792A12"/>
    <w:rsid w:val="007958C5"/>
    <w:rsid w:val="007A051D"/>
    <w:rsid w:val="007B28D3"/>
    <w:rsid w:val="007C0C18"/>
    <w:rsid w:val="007C1A11"/>
    <w:rsid w:val="007C4B5F"/>
    <w:rsid w:val="007C5DF4"/>
    <w:rsid w:val="007D15A1"/>
    <w:rsid w:val="007D49A8"/>
    <w:rsid w:val="007E2A18"/>
    <w:rsid w:val="007E40D6"/>
    <w:rsid w:val="007E49D0"/>
    <w:rsid w:val="007E53E2"/>
    <w:rsid w:val="007F5745"/>
    <w:rsid w:val="008008B0"/>
    <w:rsid w:val="00812DBA"/>
    <w:rsid w:val="0082155D"/>
    <w:rsid w:val="008245C4"/>
    <w:rsid w:val="008252D3"/>
    <w:rsid w:val="00825F40"/>
    <w:rsid w:val="0082767E"/>
    <w:rsid w:val="00831A91"/>
    <w:rsid w:val="008327D7"/>
    <w:rsid w:val="0083351D"/>
    <w:rsid w:val="00842B38"/>
    <w:rsid w:val="00843E5A"/>
    <w:rsid w:val="00843FD1"/>
    <w:rsid w:val="00852CAC"/>
    <w:rsid w:val="00852EBE"/>
    <w:rsid w:val="008615FF"/>
    <w:rsid w:val="00863492"/>
    <w:rsid w:val="008644E3"/>
    <w:rsid w:val="0086670B"/>
    <w:rsid w:val="008700A8"/>
    <w:rsid w:val="00871AB1"/>
    <w:rsid w:val="0087700D"/>
    <w:rsid w:val="00880923"/>
    <w:rsid w:val="00881B5A"/>
    <w:rsid w:val="00882679"/>
    <w:rsid w:val="00883A19"/>
    <w:rsid w:val="00883B73"/>
    <w:rsid w:val="008858CE"/>
    <w:rsid w:val="00886386"/>
    <w:rsid w:val="008915F8"/>
    <w:rsid w:val="008924BD"/>
    <w:rsid w:val="00892A1A"/>
    <w:rsid w:val="00893DEE"/>
    <w:rsid w:val="008A0513"/>
    <w:rsid w:val="008A44FD"/>
    <w:rsid w:val="008A56EA"/>
    <w:rsid w:val="008B2132"/>
    <w:rsid w:val="008B46F8"/>
    <w:rsid w:val="008C1761"/>
    <w:rsid w:val="008D2963"/>
    <w:rsid w:val="008D7C79"/>
    <w:rsid w:val="008E2FD2"/>
    <w:rsid w:val="008E520A"/>
    <w:rsid w:val="008E79ED"/>
    <w:rsid w:val="008F6993"/>
    <w:rsid w:val="00901530"/>
    <w:rsid w:val="00904BBC"/>
    <w:rsid w:val="00912493"/>
    <w:rsid w:val="0092462F"/>
    <w:rsid w:val="00924D10"/>
    <w:rsid w:val="00925DB9"/>
    <w:rsid w:val="00931057"/>
    <w:rsid w:val="009314A5"/>
    <w:rsid w:val="0093292A"/>
    <w:rsid w:val="00945889"/>
    <w:rsid w:val="0094603E"/>
    <w:rsid w:val="00947301"/>
    <w:rsid w:val="0095163D"/>
    <w:rsid w:val="00952B47"/>
    <w:rsid w:val="00964090"/>
    <w:rsid w:val="0097084B"/>
    <w:rsid w:val="009711FD"/>
    <w:rsid w:val="00972C41"/>
    <w:rsid w:val="0098366F"/>
    <w:rsid w:val="009841E9"/>
    <w:rsid w:val="009868CA"/>
    <w:rsid w:val="00991235"/>
    <w:rsid w:val="009962EA"/>
    <w:rsid w:val="00997EB5"/>
    <w:rsid w:val="009A1EF5"/>
    <w:rsid w:val="009A3C1C"/>
    <w:rsid w:val="009B3E30"/>
    <w:rsid w:val="009B4332"/>
    <w:rsid w:val="009B50C6"/>
    <w:rsid w:val="009D4E0D"/>
    <w:rsid w:val="009E1107"/>
    <w:rsid w:val="009E13C6"/>
    <w:rsid w:val="009E7447"/>
    <w:rsid w:val="00A058BD"/>
    <w:rsid w:val="00A06EC4"/>
    <w:rsid w:val="00A1325A"/>
    <w:rsid w:val="00A14546"/>
    <w:rsid w:val="00A14C01"/>
    <w:rsid w:val="00A20971"/>
    <w:rsid w:val="00A21D02"/>
    <w:rsid w:val="00A22E4F"/>
    <w:rsid w:val="00A24E61"/>
    <w:rsid w:val="00A33788"/>
    <w:rsid w:val="00A34B84"/>
    <w:rsid w:val="00A358F3"/>
    <w:rsid w:val="00A36CC9"/>
    <w:rsid w:val="00A374DD"/>
    <w:rsid w:val="00A41579"/>
    <w:rsid w:val="00A47008"/>
    <w:rsid w:val="00A52030"/>
    <w:rsid w:val="00A53FF8"/>
    <w:rsid w:val="00A572CB"/>
    <w:rsid w:val="00A57383"/>
    <w:rsid w:val="00A63212"/>
    <w:rsid w:val="00A647EF"/>
    <w:rsid w:val="00A757A0"/>
    <w:rsid w:val="00A76EF2"/>
    <w:rsid w:val="00A83B5C"/>
    <w:rsid w:val="00A8425F"/>
    <w:rsid w:val="00A85AA4"/>
    <w:rsid w:val="00A8638D"/>
    <w:rsid w:val="00A93CA8"/>
    <w:rsid w:val="00A947BA"/>
    <w:rsid w:val="00A948DB"/>
    <w:rsid w:val="00A95D4F"/>
    <w:rsid w:val="00A97E4D"/>
    <w:rsid w:val="00AA49AE"/>
    <w:rsid w:val="00AB1C0E"/>
    <w:rsid w:val="00AB293A"/>
    <w:rsid w:val="00AB29A9"/>
    <w:rsid w:val="00AC528A"/>
    <w:rsid w:val="00AC5561"/>
    <w:rsid w:val="00AD20B2"/>
    <w:rsid w:val="00AD4B5B"/>
    <w:rsid w:val="00AE02DE"/>
    <w:rsid w:val="00AE1AFE"/>
    <w:rsid w:val="00AE3882"/>
    <w:rsid w:val="00AE3E13"/>
    <w:rsid w:val="00AE4F6A"/>
    <w:rsid w:val="00AE54C7"/>
    <w:rsid w:val="00AF08F7"/>
    <w:rsid w:val="00AF38D8"/>
    <w:rsid w:val="00B002E9"/>
    <w:rsid w:val="00B017D5"/>
    <w:rsid w:val="00B02FEE"/>
    <w:rsid w:val="00B1315D"/>
    <w:rsid w:val="00B24313"/>
    <w:rsid w:val="00B26E24"/>
    <w:rsid w:val="00B27CF3"/>
    <w:rsid w:val="00B330F4"/>
    <w:rsid w:val="00B35723"/>
    <w:rsid w:val="00B36336"/>
    <w:rsid w:val="00B37A96"/>
    <w:rsid w:val="00B45250"/>
    <w:rsid w:val="00B579B0"/>
    <w:rsid w:val="00B67F38"/>
    <w:rsid w:val="00B70437"/>
    <w:rsid w:val="00B73988"/>
    <w:rsid w:val="00B7532D"/>
    <w:rsid w:val="00B8530C"/>
    <w:rsid w:val="00B87E72"/>
    <w:rsid w:val="00B9261E"/>
    <w:rsid w:val="00B96B70"/>
    <w:rsid w:val="00BA16D7"/>
    <w:rsid w:val="00BA73B7"/>
    <w:rsid w:val="00BB2D9B"/>
    <w:rsid w:val="00BC2470"/>
    <w:rsid w:val="00BC36AE"/>
    <w:rsid w:val="00BC4BC2"/>
    <w:rsid w:val="00BD45C1"/>
    <w:rsid w:val="00BD61E9"/>
    <w:rsid w:val="00BE299F"/>
    <w:rsid w:val="00BE48AD"/>
    <w:rsid w:val="00BE64E0"/>
    <w:rsid w:val="00BF286D"/>
    <w:rsid w:val="00BF2A13"/>
    <w:rsid w:val="00BF2EFF"/>
    <w:rsid w:val="00BF3D81"/>
    <w:rsid w:val="00BF49F1"/>
    <w:rsid w:val="00BF61EF"/>
    <w:rsid w:val="00C00030"/>
    <w:rsid w:val="00C024BD"/>
    <w:rsid w:val="00C02B45"/>
    <w:rsid w:val="00C1025D"/>
    <w:rsid w:val="00C113E9"/>
    <w:rsid w:val="00C176DA"/>
    <w:rsid w:val="00C30546"/>
    <w:rsid w:val="00C31CFA"/>
    <w:rsid w:val="00C349C0"/>
    <w:rsid w:val="00C4129E"/>
    <w:rsid w:val="00C45AD2"/>
    <w:rsid w:val="00C4786B"/>
    <w:rsid w:val="00C47DCE"/>
    <w:rsid w:val="00C533F6"/>
    <w:rsid w:val="00C5398E"/>
    <w:rsid w:val="00C57AA2"/>
    <w:rsid w:val="00C57DA2"/>
    <w:rsid w:val="00C619A7"/>
    <w:rsid w:val="00C6665B"/>
    <w:rsid w:val="00C676B9"/>
    <w:rsid w:val="00C67717"/>
    <w:rsid w:val="00C73C1E"/>
    <w:rsid w:val="00C76EA7"/>
    <w:rsid w:val="00C818D4"/>
    <w:rsid w:val="00C830A3"/>
    <w:rsid w:val="00C84F4A"/>
    <w:rsid w:val="00C85CF5"/>
    <w:rsid w:val="00C8605D"/>
    <w:rsid w:val="00C91D9E"/>
    <w:rsid w:val="00C92FE3"/>
    <w:rsid w:val="00C9668D"/>
    <w:rsid w:val="00C96958"/>
    <w:rsid w:val="00C9793B"/>
    <w:rsid w:val="00CA36FC"/>
    <w:rsid w:val="00CA4419"/>
    <w:rsid w:val="00CA53D6"/>
    <w:rsid w:val="00CA64DE"/>
    <w:rsid w:val="00CB26E4"/>
    <w:rsid w:val="00CB5BDA"/>
    <w:rsid w:val="00CB7493"/>
    <w:rsid w:val="00CC1514"/>
    <w:rsid w:val="00CE4ECB"/>
    <w:rsid w:val="00CE68FF"/>
    <w:rsid w:val="00CF4D21"/>
    <w:rsid w:val="00D0004C"/>
    <w:rsid w:val="00D00E3B"/>
    <w:rsid w:val="00D01E04"/>
    <w:rsid w:val="00D06164"/>
    <w:rsid w:val="00D1472C"/>
    <w:rsid w:val="00D210FF"/>
    <w:rsid w:val="00D2300A"/>
    <w:rsid w:val="00D26A50"/>
    <w:rsid w:val="00D311D7"/>
    <w:rsid w:val="00D35FE9"/>
    <w:rsid w:val="00D4319C"/>
    <w:rsid w:val="00D44879"/>
    <w:rsid w:val="00D45106"/>
    <w:rsid w:val="00D4572D"/>
    <w:rsid w:val="00D47806"/>
    <w:rsid w:val="00D55D0C"/>
    <w:rsid w:val="00D57076"/>
    <w:rsid w:val="00D5788D"/>
    <w:rsid w:val="00D64356"/>
    <w:rsid w:val="00D65613"/>
    <w:rsid w:val="00D703B0"/>
    <w:rsid w:val="00D72323"/>
    <w:rsid w:val="00D80D23"/>
    <w:rsid w:val="00D80DE2"/>
    <w:rsid w:val="00D85CBE"/>
    <w:rsid w:val="00D8736E"/>
    <w:rsid w:val="00D92150"/>
    <w:rsid w:val="00D95BDB"/>
    <w:rsid w:val="00D96DBB"/>
    <w:rsid w:val="00DA42E1"/>
    <w:rsid w:val="00DA5501"/>
    <w:rsid w:val="00DB06DE"/>
    <w:rsid w:val="00DB7120"/>
    <w:rsid w:val="00DD01C1"/>
    <w:rsid w:val="00DD1A2A"/>
    <w:rsid w:val="00DD1CAD"/>
    <w:rsid w:val="00DD5E1A"/>
    <w:rsid w:val="00DE0AC0"/>
    <w:rsid w:val="00DE3D65"/>
    <w:rsid w:val="00E02FCA"/>
    <w:rsid w:val="00E0318E"/>
    <w:rsid w:val="00E05B60"/>
    <w:rsid w:val="00E060C7"/>
    <w:rsid w:val="00E15B4A"/>
    <w:rsid w:val="00E16A60"/>
    <w:rsid w:val="00E17AC0"/>
    <w:rsid w:val="00E32BBF"/>
    <w:rsid w:val="00E36F22"/>
    <w:rsid w:val="00E4207B"/>
    <w:rsid w:val="00E44098"/>
    <w:rsid w:val="00E46952"/>
    <w:rsid w:val="00E51C9A"/>
    <w:rsid w:val="00E53E8E"/>
    <w:rsid w:val="00E56126"/>
    <w:rsid w:val="00E63C8F"/>
    <w:rsid w:val="00E72447"/>
    <w:rsid w:val="00E72C0C"/>
    <w:rsid w:val="00E91F42"/>
    <w:rsid w:val="00E97F5E"/>
    <w:rsid w:val="00EA13BE"/>
    <w:rsid w:val="00EC1351"/>
    <w:rsid w:val="00EC59B5"/>
    <w:rsid w:val="00ED2907"/>
    <w:rsid w:val="00ED2E4A"/>
    <w:rsid w:val="00ED3075"/>
    <w:rsid w:val="00ED4CA7"/>
    <w:rsid w:val="00EE0993"/>
    <w:rsid w:val="00EE2285"/>
    <w:rsid w:val="00EE3C34"/>
    <w:rsid w:val="00EE442B"/>
    <w:rsid w:val="00EE6967"/>
    <w:rsid w:val="00EF4DFB"/>
    <w:rsid w:val="00F11317"/>
    <w:rsid w:val="00F120AF"/>
    <w:rsid w:val="00F14A87"/>
    <w:rsid w:val="00F24C49"/>
    <w:rsid w:val="00F26924"/>
    <w:rsid w:val="00F3568B"/>
    <w:rsid w:val="00F3732E"/>
    <w:rsid w:val="00F42E47"/>
    <w:rsid w:val="00F43833"/>
    <w:rsid w:val="00F44861"/>
    <w:rsid w:val="00F44915"/>
    <w:rsid w:val="00F44A5D"/>
    <w:rsid w:val="00F47E1D"/>
    <w:rsid w:val="00F515EF"/>
    <w:rsid w:val="00F55FB5"/>
    <w:rsid w:val="00F561C2"/>
    <w:rsid w:val="00F60219"/>
    <w:rsid w:val="00F62285"/>
    <w:rsid w:val="00F631DB"/>
    <w:rsid w:val="00F673AD"/>
    <w:rsid w:val="00F728ED"/>
    <w:rsid w:val="00F74C0F"/>
    <w:rsid w:val="00F80211"/>
    <w:rsid w:val="00F80593"/>
    <w:rsid w:val="00F82B82"/>
    <w:rsid w:val="00F973CA"/>
    <w:rsid w:val="00FA5CDF"/>
    <w:rsid w:val="00FA60A3"/>
    <w:rsid w:val="00FB10A7"/>
    <w:rsid w:val="00FB395C"/>
    <w:rsid w:val="00FC0A8F"/>
    <w:rsid w:val="00FC4750"/>
    <w:rsid w:val="00FC50E4"/>
    <w:rsid w:val="00FC516F"/>
    <w:rsid w:val="00FD105B"/>
    <w:rsid w:val="00FD193D"/>
    <w:rsid w:val="00FD3381"/>
    <w:rsid w:val="00FD7662"/>
    <w:rsid w:val="00FE1805"/>
    <w:rsid w:val="00FE1E67"/>
    <w:rsid w:val="00FE5C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E54B4"/>
  <w15:chartTrackingRefBased/>
  <w15:docId w15:val="{E3EBF0BA-D462-4DCD-B369-0525F5648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191B0E"/>
    <w:pPr>
      <w:keepNext/>
      <w:keepLines/>
      <w:numPr>
        <w:numId w:val="1"/>
      </w:numPr>
      <w:spacing w:before="240" w:after="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AD4B5B"/>
    <w:pPr>
      <w:keepNext/>
      <w:keepLines/>
      <w:numPr>
        <w:ilvl w:val="1"/>
        <w:numId w:val="1"/>
      </w:numPr>
      <w:spacing w:before="40" w:after="24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363EF5"/>
    <w:pPr>
      <w:keepNext/>
      <w:keepLines/>
      <w:numPr>
        <w:ilvl w:val="2"/>
        <w:numId w:val="1"/>
      </w:numPr>
      <w:spacing w:before="40" w:after="24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iPriority w:val="9"/>
    <w:unhideWhenUsed/>
    <w:qFormat/>
    <w:rsid w:val="00EC59B5"/>
    <w:pPr>
      <w:keepNext/>
      <w:keepLines/>
      <w:numPr>
        <w:ilvl w:val="3"/>
        <w:numId w:val="1"/>
      </w:numPr>
      <w:spacing w:before="40" w:after="2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AE388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AE388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AE388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AE388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AE388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AE38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AE3882"/>
    <w:rPr>
      <w:rFonts w:asciiTheme="majorHAnsi" w:eastAsiaTheme="majorEastAsia" w:hAnsiTheme="majorHAnsi" w:cstheme="majorBidi"/>
      <w:spacing w:val="-10"/>
      <w:kern w:val="28"/>
      <w:sz w:val="56"/>
      <w:szCs w:val="56"/>
    </w:rPr>
  </w:style>
  <w:style w:type="character" w:customStyle="1" w:styleId="Otsikko1Char">
    <w:name w:val="Otsikko 1 Char"/>
    <w:basedOn w:val="Kappaleenoletusfontti"/>
    <w:link w:val="Otsikko1"/>
    <w:uiPriority w:val="9"/>
    <w:rsid w:val="00191B0E"/>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AD4B5B"/>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363EF5"/>
    <w:rPr>
      <w:rFonts w:asciiTheme="majorHAnsi" w:eastAsiaTheme="majorEastAsia" w:hAnsiTheme="majorHAnsi" w:cstheme="majorBidi"/>
      <w:color w:val="1F4D78" w:themeColor="accent1" w:themeShade="7F"/>
      <w:sz w:val="24"/>
      <w:szCs w:val="24"/>
    </w:rPr>
  </w:style>
  <w:style w:type="character" w:customStyle="1" w:styleId="Otsikko4Char">
    <w:name w:val="Otsikko 4 Char"/>
    <w:basedOn w:val="Kappaleenoletusfontti"/>
    <w:link w:val="Otsikko4"/>
    <w:uiPriority w:val="9"/>
    <w:rsid w:val="00EC59B5"/>
    <w:rPr>
      <w:rFonts w:asciiTheme="majorHAnsi" w:eastAsiaTheme="majorEastAsia" w:hAnsiTheme="majorHAnsi" w:cstheme="majorBidi"/>
      <w:i/>
      <w:iCs/>
      <w:color w:val="2E74B5" w:themeColor="accent1" w:themeShade="BF"/>
    </w:rPr>
  </w:style>
  <w:style w:type="character" w:customStyle="1" w:styleId="Otsikko5Char">
    <w:name w:val="Otsikko 5 Char"/>
    <w:basedOn w:val="Kappaleenoletusfontti"/>
    <w:link w:val="Otsikko5"/>
    <w:uiPriority w:val="9"/>
    <w:semiHidden/>
    <w:rsid w:val="00AE3882"/>
    <w:rPr>
      <w:rFonts w:asciiTheme="majorHAnsi" w:eastAsiaTheme="majorEastAsia" w:hAnsiTheme="majorHAnsi" w:cstheme="majorBidi"/>
      <w:color w:val="2E74B5" w:themeColor="accent1" w:themeShade="BF"/>
    </w:rPr>
  </w:style>
  <w:style w:type="character" w:customStyle="1" w:styleId="Otsikko6Char">
    <w:name w:val="Otsikko 6 Char"/>
    <w:basedOn w:val="Kappaleenoletusfontti"/>
    <w:link w:val="Otsikko6"/>
    <w:uiPriority w:val="9"/>
    <w:semiHidden/>
    <w:rsid w:val="00AE3882"/>
    <w:rPr>
      <w:rFonts w:asciiTheme="majorHAnsi" w:eastAsiaTheme="majorEastAsia" w:hAnsiTheme="majorHAnsi" w:cstheme="majorBidi"/>
      <w:color w:val="1F4D78" w:themeColor="accent1" w:themeShade="7F"/>
    </w:rPr>
  </w:style>
  <w:style w:type="character" w:customStyle="1" w:styleId="Otsikko7Char">
    <w:name w:val="Otsikko 7 Char"/>
    <w:basedOn w:val="Kappaleenoletusfontti"/>
    <w:link w:val="Otsikko7"/>
    <w:uiPriority w:val="9"/>
    <w:semiHidden/>
    <w:rsid w:val="00AE3882"/>
    <w:rPr>
      <w:rFonts w:asciiTheme="majorHAnsi" w:eastAsiaTheme="majorEastAsia" w:hAnsiTheme="majorHAnsi" w:cstheme="majorBidi"/>
      <w:i/>
      <w:iCs/>
      <w:color w:val="1F4D78" w:themeColor="accent1" w:themeShade="7F"/>
    </w:rPr>
  </w:style>
  <w:style w:type="character" w:customStyle="1" w:styleId="Otsikko8Char">
    <w:name w:val="Otsikko 8 Char"/>
    <w:basedOn w:val="Kappaleenoletusfontti"/>
    <w:link w:val="Otsikko8"/>
    <w:uiPriority w:val="9"/>
    <w:semiHidden/>
    <w:rsid w:val="00AE3882"/>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AE3882"/>
    <w:rPr>
      <w:rFonts w:asciiTheme="majorHAnsi" w:eastAsiaTheme="majorEastAsia" w:hAnsiTheme="majorHAnsi" w:cstheme="majorBidi"/>
      <w:i/>
      <w:iCs/>
      <w:color w:val="272727" w:themeColor="text1" w:themeTint="D8"/>
      <w:sz w:val="21"/>
      <w:szCs w:val="21"/>
    </w:rPr>
  </w:style>
  <w:style w:type="character" w:styleId="Hyperlinkki">
    <w:name w:val="Hyperlink"/>
    <w:basedOn w:val="Kappaleenoletusfontti"/>
    <w:uiPriority w:val="99"/>
    <w:unhideWhenUsed/>
    <w:rsid w:val="00CF4D21"/>
    <w:rPr>
      <w:color w:val="0563C1" w:themeColor="hyperlink"/>
      <w:u w:val="single"/>
    </w:rPr>
  </w:style>
  <w:style w:type="paragraph" w:styleId="Luettelokappale">
    <w:name w:val="List Paragraph"/>
    <w:basedOn w:val="Normaali"/>
    <w:uiPriority w:val="34"/>
    <w:qFormat/>
    <w:rsid w:val="00A374DD"/>
    <w:pPr>
      <w:ind w:left="720"/>
      <w:contextualSpacing/>
    </w:pPr>
  </w:style>
  <w:style w:type="character" w:styleId="Kommentinviite">
    <w:name w:val="annotation reference"/>
    <w:basedOn w:val="Kappaleenoletusfontti"/>
    <w:uiPriority w:val="99"/>
    <w:semiHidden/>
    <w:unhideWhenUsed/>
    <w:rsid w:val="00BB2D9B"/>
    <w:rPr>
      <w:sz w:val="16"/>
      <w:szCs w:val="16"/>
    </w:rPr>
  </w:style>
  <w:style w:type="paragraph" w:styleId="Kommentinteksti">
    <w:name w:val="annotation text"/>
    <w:basedOn w:val="Normaali"/>
    <w:link w:val="KommentintekstiChar"/>
    <w:uiPriority w:val="99"/>
    <w:unhideWhenUsed/>
    <w:rsid w:val="00BB2D9B"/>
    <w:pPr>
      <w:spacing w:after="0" w:line="240" w:lineRule="auto"/>
    </w:pPr>
    <w:rPr>
      <w:rFonts w:ascii="Arial" w:eastAsia="Arial" w:hAnsi="Arial" w:cs="Arial"/>
      <w:color w:val="000000"/>
      <w:sz w:val="20"/>
      <w:szCs w:val="20"/>
      <w:lang w:eastAsia="fi-FI"/>
    </w:rPr>
  </w:style>
  <w:style w:type="character" w:customStyle="1" w:styleId="KommentintekstiChar">
    <w:name w:val="Kommentin teksti Char"/>
    <w:basedOn w:val="Kappaleenoletusfontti"/>
    <w:link w:val="Kommentinteksti"/>
    <w:uiPriority w:val="99"/>
    <w:rsid w:val="00BB2D9B"/>
    <w:rPr>
      <w:rFonts w:ascii="Arial" w:eastAsia="Arial" w:hAnsi="Arial" w:cs="Arial"/>
      <w:color w:val="000000"/>
      <w:sz w:val="20"/>
      <w:szCs w:val="20"/>
      <w:lang w:eastAsia="fi-FI"/>
    </w:rPr>
  </w:style>
  <w:style w:type="paragraph" w:styleId="Seliteteksti">
    <w:name w:val="Balloon Text"/>
    <w:basedOn w:val="Normaali"/>
    <w:link w:val="SelitetekstiChar"/>
    <w:uiPriority w:val="99"/>
    <w:semiHidden/>
    <w:unhideWhenUsed/>
    <w:rsid w:val="00BB2D9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B2D9B"/>
    <w:rPr>
      <w:rFonts w:ascii="Segoe UI" w:hAnsi="Segoe UI" w:cs="Segoe UI"/>
      <w:sz w:val="18"/>
      <w:szCs w:val="18"/>
    </w:rPr>
  </w:style>
  <w:style w:type="table" w:styleId="TaulukkoRuudukko">
    <w:name w:val="Table Grid"/>
    <w:basedOn w:val="Normaalitaulukko"/>
    <w:uiPriority w:val="39"/>
    <w:rsid w:val="001C7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unhideWhenUsed/>
    <w:qFormat/>
    <w:rsid w:val="00784AC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kintailmoitukset.f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3EDE4-D89F-44A4-91E2-CDDCB89F3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7</Pages>
  <Words>2038</Words>
  <Characters>16509</Characters>
  <Application>Microsoft Office Word</Application>
  <DocSecurity>0</DocSecurity>
  <Lines>137</Lines>
  <Paragraphs>37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Santeri Naumanen</dc:creator>
  <cp:keywords/>
  <dc:description/>
  <cp:lastModifiedBy>Naumanen Santeri</cp:lastModifiedBy>
  <cp:revision>22</cp:revision>
  <cp:lastPrinted>2016-06-07T09:35:00Z</cp:lastPrinted>
  <dcterms:created xsi:type="dcterms:W3CDTF">2016-08-04T17:03:00Z</dcterms:created>
  <dcterms:modified xsi:type="dcterms:W3CDTF">2016-08-19T12:58:00Z</dcterms:modified>
</cp:coreProperties>
</file>